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FDCEC" w14:textId="77777777" w:rsidR="00C64B1B" w:rsidRDefault="00C64B1B" w:rsidP="00C64B1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167"/>
        <w:gridCol w:w="2060"/>
        <w:gridCol w:w="4134"/>
        <w:gridCol w:w="3704"/>
        <w:gridCol w:w="3837"/>
      </w:tblGrid>
      <w:tr w:rsidR="00411523" w:rsidRPr="00411523" w14:paraId="1A8EDEE0" w14:textId="77777777" w:rsidTr="008A60E1">
        <w:tc>
          <w:tcPr>
            <w:tcW w:w="0" w:type="auto"/>
            <w:gridSpan w:val="6"/>
            <w:vAlign w:val="center"/>
          </w:tcPr>
          <w:p w14:paraId="127B2D8B" w14:textId="77777777" w:rsidR="00A06425" w:rsidRPr="00411523" w:rsidRDefault="00A06425" w:rsidP="00B871B6">
            <w:pPr>
              <w:spacing w:before="120" w:after="120"/>
              <w:rPr>
                <w:rFonts w:asciiTheme="minorHAnsi" w:hAnsiTheme="minorHAnsi" w:cstheme="minorHAnsi"/>
                <w:b/>
                <w:i/>
                <w:sz w:val="22"/>
                <w:szCs w:val="22"/>
              </w:rPr>
            </w:pPr>
            <w:r w:rsidRPr="00411523">
              <w:rPr>
                <w:rFonts w:asciiTheme="minorHAnsi" w:hAnsiTheme="minorHAnsi" w:cstheme="minorHAnsi"/>
                <w:b/>
                <w:i/>
                <w:sz w:val="22"/>
                <w:szCs w:val="22"/>
              </w:rPr>
              <w:t>Nazwa dokumentu:</w:t>
            </w:r>
            <w:r w:rsidR="005F5934" w:rsidRPr="00411523">
              <w:rPr>
                <w:rFonts w:asciiTheme="minorHAnsi" w:hAnsiTheme="minorHAnsi" w:cstheme="minorHAnsi"/>
                <w:b/>
                <w:i/>
                <w:sz w:val="22"/>
                <w:szCs w:val="22"/>
              </w:rPr>
              <w:t xml:space="preserve"> projekt rozporządzenia Ministra Zdrowia </w:t>
            </w:r>
            <w:hyperlink r:id="rId6" w:history="1">
              <w:r w:rsidR="005F5934" w:rsidRPr="00411523">
                <w:rPr>
                  <w:rStyle w:val="Hipercze"/>
                  <w:rFonts w:asciiTheme="minorHAnsi" w:hAnsiTheme="minorHAnsi" w:cstheme="minorHAnsi"/>
                  <w:b/>
                  <w:bCs/>
                  <w:i/>
                  <w:color w:val="auto"/>
                  <w:sz w:val="22"/>
                  <w:szCs w:val="22"/>
                  <w:u w:val="none"/>
                </w:rPr>
                <w:t xml:space="preserve"> zmieniający rozporządzenie w sprawie Systemu Wspomagania Dowodzenia Państwowego Ratownictwa Medycznego (MZ1832)</w:t>
              </w:r>
            </w:hyperlink>
            <w:r w:rsidR="005F5934" w:rsidRPr="00411523">
              <w:rPr>
                <w:rFonts w:asciiTheme="minorHAnsi" w:hAnsiTheme="minorHAnsi" w:cstheme="minorHAnsi"/>
                <w:b/>
                <w:i/>
                <w:sz w:val="22"/>
                <w:szCs w:val="22"/>
              </w:rPr>
              <w:t>,</w:t>
            </w:r>
          </w:p>
        </w:tc>
      </w:tr>
      <w:tr w:rsidR="00411523" w:rsidRPr="00411523" w14:paraId="4D7F665A" w14:textId="77777777" w:rsidTr="008A60E1">
        <w:tc>
          <w:tcPr>
            <w:tcW w:w="0" w:type="auto"/>
            <w:vAlign w:val="center"/>
          </w:tcPr>
          <w:p w14:paraId="760905BF" w14:textId="77777777" w:rsidR="00A06425" w:rsidRPr="00411523" w:rsidRDefault="00A06425" w:rsidP="004D086F">
            <w:pPr>
              <w:jc w:val="center"/>
              <w:rPr>
                <w:rFonts w:asciiTheme="minorHAnsi" w:hAnsiTheme="minorHAnsi" w:cstheme="minorHAnsi"/>
                <w:b/>
                <w:sz w:val="22"/>
                <w:szCs w:val="22"/>
              </w:rPr>
            </w:pPr>
            <w:r w:rsidRPr="00411523">
              <w:rPr>
                <w:rFonts w:asciiTheme="minorHAnsi" w:hAnsiTheme="minorHAnsi" w:cstheme="minorHAnsi"/>
                <w:b/>
                <w:sz w:val="22"/>
                <w:szCs w:val="22"/>
              </w:rPr>
              <w:t>Lp.</w:t>
            </w:r>
          </w:p>
        </w:tc>
        <w:tc>
          <w:tcPr>
            <w:tcW w:w="0" w:type="auto"/>
            <w:vAlign w:val="center"/>
          </w:tcPr>
          <w:p w14:paraId="532E7070" w14:textId="77777777" w:rsidR="00A06425" w:rsidRPr="00411523" w:rsidRDefault="00A06425" w:rsidP="004D086F">
            <w:pPr>
              <w:jc w:val="center"/>
              <w:rPr>
                <w:rFonts w:asciiTheme="minorHAnsi" w:hAnsiTheme="minorHAnsi" w:cstheme="minorHAnsi"/>
                <w:b/>
                <w:sz w:val="22"/>
                <w:szCs w:val="22"/>
              </w:rPr>
            </w:pPr>
            <w:r w:rsidRPr="00411523">
              <w:rPr>
                <w:rFonts w:asciiTheme="minorHAnsi" w:hAnsiTheme="minorHAnsi" w:cstheme="minorHAnsi"/>
                <w:b/>
                <w:sz w:val="22"/>
                <w:szCs w:val="22"/>
              </w:rPr>
              <w:t>Organ wnoszący uwagi</w:t>
            </w:r>
          </w:p>
        </w:tc>
        <w:tc>
          <w:tcPr>
            <w:tcW w:w="0" w:type="auto"/>
            <w:vAlign w:val="center"/>
          </w:tcPr>
          <w:p w14:paraId="379C62DD" w14:textId="77777777" w:rsidR="00A06425" w:rsidRPr="00411523" w:rsidRDefault="00A06425" w:rsidP="004D086F">
            <w:pPr>
              <w:jc w:val="center"/>
              <w:rPr>
                <w:rFonts w:asciiTheme="minorHAnsi" w:hAnsiTheme="minorHAnsi" w:cstheme="minorHAnsi"/>
                <w:b/>
                <w:sz w:val="22"/>
                <w:szCs w:val="22"/>
              </w:rPr>
            </w:pPr>
            <w:r w:rsidRPr="00411523">
              <w:rPr>
                <w:rFonts w:asciiTheme="minorHAnsi" w:hAnsiTheme="minorHAnsi" w:cstheme="minorHAnsi"/>
                <w:b/>
                <w:sz w:val="22"/>
                <w:szCs w:val="22"/>
              </w:rPr>
              <w:t>Jednostka redakcyjna, do której wnoszone są uwagi</w:t>
            </w:r>
          </w:p>
        </w:tc>
        <w:tc>
          <w:tcPr>
            <w:tcW w:w="0" w:type="auto"/>
            <w:vAlign w:val="center"/>
          </w:tcPr>
          <w:p w14:paraId="05897A87" w14:textId="77777777" w:rsidR="00A06425" w:rsidRPr="00411523" w:rsidRDefault="00A06425" w:rsidP="004D086F">
            <w:pPr>
              <w:jc w:val="center"/>
              <w:rPr>
                <w:rFonts w:asciiTheme="minorHAnsi" w:hAnsiTheme="minorHAnsi" w:cstheme="minorHAnsi"/>
                <w:b/>
                <w:sz w:val="22"/>
                <w:szCs w:val="22"/>
              </w:rPr>
            </w:pPr>
            <w:r w:rsidRPr="00411523">
              <w:rPr>
                <w:rFonts w:asciiTheme="minorHAnsi" w:hAnsiTheme="minorHAnsi" w:cstheme="minorHAnsi"/>
                <w:b/>
                <w:sz w:val="22"/>
                <w:szCs w:val="22"/>
              </w:rPr>
              <w:t>Treść uwagi</w:t>
            </w:r>
          </w:p>
        </w:tc>
        <w:tc>
          <w:tcPr>
            <w:tcW w:w="0" w:type="auto"/>
            <w:vAlign w:val="center"/>
          </w:tcPr>
          <w:p w14:paraId="062E300A" w14:textId="77777777" w:rsidR="00A06425" w:rsidRPr="00411523" w:rsidRDefault="00A06425" w:rsidP="004D086F">
            <w:pPr>
              <w:jc w:val="center"/>
              <w:rPr>
                <w:rFonts w:asciiTheme="minorHAnsi" w:hAnsiTheme="minorHAnsi" w:cstheme="minorHAnsi"/>
                <w:b/>
                <w:sz w:val="22"/>
                <w:szCs w:val="22"/>
              </w:rPr>
            </w:pPr>
            <w:r w:rsidRPr="00411523">
              <w:rPr>
                <w:rFonts w:asciiTheme="minorHAnsi" w:hAnsiTheme="minorHAnsi" w:cstheme="minorHAnsi"/>
                <w:b/>
                <w:sz w:val="22"/>
                <w:szCs w:val="22"/>
              </w:rPr>
              <w:t>Propozycja zmian zapisu</w:t>
            </w:r>
          </w:p>
        </w:tc>
        <w:tc>
          <w:tcPr>
            <w:tcW w:w="0" w:type="auto"/>
            <w:vAlign w:val="center"/>
          </w:tcPr>
          <w:p w14:paraId="34F59C71" w14:textId="77777777" w:rsidR="00A06425" w:rsidRPr="00411523" w:rsidRDefault="00A06425" w:rsidP="00A06425">
            <w:pPr>
              <w:jc w:val="center"/>
              <w:rPr>
                <w:rFonts w:asciiTheme="minorHAnsi" w:hAnsiTheme="minorHAnsi" w:cstheme="minorHAnsi"/>
                <w:b/>
                <w:sz w:val="22"/>
                <w:szCs w:val="22"/>
              </w:rPr>
            </w:pPr>
            <w:r w:rsidRPr="00411523">
              <w:rPr>
                <w:rFonts w:asciiTheme="minorHAnsi" w:hAnsiTheme="minorHAnsi" w:cstheme="minorHAnsi"/>
                <w:b/>
                <w:sz w:val="22"/>
                <w:szCs w:val="22"/>
              </w:rPr>
              <w:t>Odniesienie do uwagi</w:t>
            </w:r>
          </w:p>
        </w:tc>
      </w:tr>
      <w:tr w:rsidR="00AD7492" w:rsidRPr="00411523" w14:paraId="5A4E622C" w14:textId="77777777" w:rsidTr="008A60E1">
        <w:tc>
          <w:tcPr>
            <w:tcW w:w="0" w:type="auto"/>
            <w:vAlign w:val="center"/>
          </w:tcPr>
          <w:p w14:paraId="51BFB338" w14:textId="4AA4D5A4" w:rsidR="00AD7492" w:rsidRPr="00411523" w:rsidRDefault="00756ADE" w:rsidP="004D086F">
            <w:pPr>
              <w:jc w:val="center"/>
              <w:rPr>
                <w:rFonts w:asciiTheme="minorHAnsi" w:hAnsiTheme="minorHAnsi" w:cstheme="minorHAnsi"/>
                <w:b/>
                <w:sz w:val="22"/>
                <w:szCs w:val="22"/>
              </w:rPr>
            </w:pPr>
            <w:r>
              <w:rPr>
                <w:rFonts w:asciiTheme="minorHAnsi" w:hAnsiTheme="minorHAnsi" w:cstheme="minorHAnsi"/>
                <w:b/>
                <w:sz w:val="22"/>
                <w:szCs w:val="22"/>
              </w:rPr>
              <w:t>1</w:t>
            </w:r>
          </w:p>
        </w:tc>
        <w:tc>
          <w:tcPr>
            <w:tcW w:w="0" w:type="auto"/>
            <w:vAlign w:val="center"/>
          </w:tcPr>
          <w:p w14:paraId="783C7FC9" w14:textId="77777777" w:rsidR="00AD7492" w:rsidRPr="00AD7492"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 xml:space="preserve">Minister </w:t>
            </w:r>
          </w:p>
          <w:p w14:paraId="424B5179" w14:textId="43FF2E84" w:rsidR="00AD7492" w:rsidRPr="00411523"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Cyfryzacji</w:t>
            </w:r>
          </w:p>
        </w:tc>
        <w:tc>
          <w:tcPr>
            <w:tcW w:w="0" w:type="auto"/>
            <w:vAlign w:val="center"/>
          </w:tcPr>
          <w:p w14:paraId="3C597F26" w14:textId="39FDE7D8"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 1 pkt 2 lit. b</w:t>
            </w:r>
          </w:p>
          <w:p w14:paraId="506F96AA" w14:textId="5CB412D2"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projektu</w:t>
            </w:r>
          </w:p>
          <w:p w14:paraId="63F3EAFF" w14:textId="0342FBD4"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rozporządzenia, w</w:t>
            </w:r>
          </w:p>
          <w:p w14:paraId="1F8B206A" w14:textId="3BC398F5"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zakresie</w:t>
            </w:r>
          </w:p>
          <w:p w14:paraId="37674BF0" w14:textId="59CFB789"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dodawanego w</w:t>
            </w:r>
          </w:p>
          <w:p w14:paraId="10D91054" w14:textId="10C0ED05"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nowelizowanym</w:t>
            </w:r>
          </w:p>
          <w:p w14:paraId="72542DB2" w14:textId="5451A205"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rozporządzeniu w</w:t>
            </w:r>
          </w:p>
          <w:p w14:paraId="5E815889" w14:textId="2269F4EF"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 3 pkt 4a.</w:t>
            </w:r>
          </w:p>
        </w:tc>
        <w:tc>
          <w:tcPr>
            <w:tcW w:w="0" w:type="auto"/>
            <w:vAlign w:val="center"/>
          </w:tcPr>
          <w:p w14:paraId="232E67D9" w14:textId="5762B2A9" w:rsidR="00AD7492" w:rsidRPr="00AD7492" w:rsidRDefault="00AD7492" w:rsidP="00AD7492">
            <w:pPr>
              <w:rPr>
                <w:rFonts w:asciiTheme="minorHAnsi" w:hAnsiTheme="minorHAnsi" w:cstheme="minorHAnsi"/>
                <w:bCs/>
                <w:sz w:val="22"/>
                <w:szCs w:val="22"/>
              </w:rPr>
            </w:pPr>
            <w:r w:rsidRPr="00AD7492">
              <w:rPr>
                <w:rFonts w:asciiTheme="minorHAnsi" w:hAnsiTheme="minorHAnsi" w:cstheme="minorHAnsi"/>
                <w:bCs/>
                <w:sz w:val="22"/>
                <w:szCs w:val="22"/>
              </w:rPr>
              <w:t xml:space="preserve">W dodawanym przepisie użyto ogólnego sformułowania „wymianę danych”, nie precyzując celu przetwarzania ani zakresu przedmiotowego tej wymiany. W kontekście integracji systemów państwowych kluczowym wydaje się, aby przepisy prawa precyzyjnie określały, jakie kategorie danych są przekazywane oraz jaki jest uzasadniony prawnie cel tej wymiany. Brak określenia celu tej wymiany oraz zbyt szerokie sformułowanie może prowadzić do nadmiernego przesyłu danych w nieuzasadnionym celu (np. całej dokumentacji medycznej zamiast tylko lit. c RODO), dane osobowe muszą być adekwatne, stosowne oraz ograniczone do tego, co niezbędne do celów, w których są przetwarzane. Stosownie </w:t>
            </w:r>
            <w:r w:rsidR="008A60E1" w:rsidRPr="00AD7492">
              <w:rPr>
                <w:rFonts w:asciiTheme="minorHAnsi" w:hAnsiTheme="minorHAnsi" w:cstheme="minorHAnsi"/>
                <w:bCs/>
                <w:sz w:val="22"/>
                <w:szCs w:val="22"/>
              </w:rPr>
              <w:t xml:space="preserve">danych niezbędnych do rozliczenia). Choć uzasadnienie wspomina o „rozliczeniu umów” oraz „automatyzacji procesu rozliczeń”, sam przepis nie zawiera ogranicznika (np. „w zakresie niezbędnym do rozliczenia świadczeń”). Zgodnie z zasadą minimalizacji danych (art. 5 ust. 1 </w:t>
            </w:r>
            <w:r w:rsidRPr="00AD7492">
              <w:rPr>
                <w:rFonts w:asciiTheme="minorHAnsi" w:hAnsiTheme="minorHAnsi" w:cstheme="minorHAnsi"/>
                <w:bCs/>
                <w:sz w:val="22"/>
                <w:szCs w:val="22"/>
              </w:rPr>
              <w:t xml:space="preserve">zaś do art. 6 ust. 3 w zw. z art. 5 ust. 1 lit. b RODO, jeżeli „wymiana danych” ma następować na podstawie przepisów prawa, to koniecznym wydaje się określenie, w tych samych przepisach </w:t>
            </w:r>
            <w:r w:rsidRPr="00AD7492">
              <w:rPr>
                <w:rFonts w:asciiTheme="minorHAnsi" w:hAnsiTheme="minorHAnsi" w:cstheme="minorHAnsi"/>
                <w:bCs/>
                <w:sz w:val="22"/>
                <w:szCs w:val="22"/>
              </w:rPr>
              <w:lastRenderedPageBreak/>
              <w:t>precyzyjnego i uzasadnionego prawnie celu przetwarzania (wymiany danych).</w:t>
            </w:r>
          </w:p>
        </w:tc>
        <w:tc>
          <w:tcPr>
            <w:tcW w:w="0" w:type="auto"/>
            <w:vAlign w:val="center"/>
          </w:tcPr>
          <w:p w14:paraId="4652AEC6" w14:textId="411CB046" w:rsidR="00AD7492" w:rsidRPr="00AD7492" w:rsidRDefault="00AD7492" w:rsidP="00AD7492">
            <w:pPr>
              <w:rPr>
                <w:rFonts w:asciiTheme="minorHAnsi" w:hAnsiTheme="minorHAnsi" w:cstheme="minorHAnsi"/>
                <w:bCs/>
                <w:sz w:val="22"/>
                <w:szCs w:val="22"/>
              </w:rPr>
            </w:pPr>
            <w:r w:rsidRPr="00AD7492">
              <w:rPr>
                <w:rFonts w:asciiTheme="minorHAnsi" w:hAnsiTheme="minorHAnsi" w:cstheme="minorHAnsi"/>
                <w:bCs/>
                <w:sz w:val="22"/>
                <w:szCs w:val="22"/>
              </w:rPr>
              <w:lastRenderedPageBreak/>
              <w:t>Proponuje się doprecyzowanie dodawanego przepisu poprzez wskazanie, że wymiana dotyczy danych niezbędnych do realizacji celów określonych w stosownych przepisach prawa (np. cele rozliczeniowe lub sprawozdawcze), tak aby spełnić wymóg jasności prawa w kontekście art. 5 ust. 1 lit. b i c RODO, a także art. 6 ust. 3 RODO.</w:t>
            </w:r>
          </w:p>
        </w:tc>
        <w:tc>
          <w:tcPr>
            <w:tcW w:w="0" w:type="auto"/>
            <w:vAlign w:val="center"/>
          </w:tcPr>
          <w:p w14:paraId="6A29815B" w14:textId="0815E2A7" w:rsidR="00841BBD" w:rsidRDefault="00841BBD" w:rsidP="00AD7492">
            <w:pPr>
              <w:rPr>
                <w:rFonts w:asciiTheme="minorHAnsi" w:hAnsiTheme="minorHAnsi" w:cstheme="minorHAnsi"/>
                <w:bCs/>
                <w:sz w:val="22"/>
                <w:szCs w:val="22"/>
              </w:rPr>
            </w:pPr>
            <w:r>
              <w:rPr>
                <w:rFonts w:asciiTheme="minorHAnsi" w:hAnsiTheme="minorHAnsi" w:cstheme="minorHAnsi"/>
                <w:bCs/>
                <w:sz w:val="22"/>
                <w:szCs w:val="22"/>
              </w:rPr>
              <w:t xml:space="preserve">Uwaga uwzględniona poprzez zmianę brzmienia pkt 4a </w:t>
            </w:r>
          </w:p>
          <w:p w14:paraId="674A0AB1" w14:textId="5E87B970" w:rsidR="00841BBD" w:rsidRDefault="00841BBD" w:rsidP="00AD7492">
            <w:pPr>
              <w:rPr>
                <w:rFonts w:asciiTheme="minorHAnsi" w:hAnsiTheme="minorHAnsi" w:cstheme="minorHAnsi"/>
                <w:bCs/>
                <w:sz w:val="22"/>
                <w:szCs w:val="22"/>
              </w:rPr>
            </w:pPr>
            <w:r>
              <w:rPr>
                <w:rFonts w:asciiTheme="minorHAnsi" w:hAnsiTheme="minorHAnsi" w:cstheme="minorHAnsi"/>
                <w:bCs/>
                <w:sz w:val="22"/>
                <w:szCs w:val="22"/>
              </w:rPr>
              <w:t>„</w:t>
            </w:r>
            <w:r w:rsidRPr="00841BBD">
              <w:rPr>
                <w:rFonts w:asciiTheme="minorHAnsi" w:hAnsiTheme="minorHAnsi" w:cstheme="minorHAnsi"/>
                <w:bCs/>
                <w:sz w:val="22"/>
                <w:szCs w:val="22"/>
              </w:rPr>
              <w:t>4a)</w:t>
            </w:r>
            <w:r>
              <w:rPr>
                <w:rFonts w:asciiTheme="minorHAnsi" w:hAnsiTheme="minorHAnsi" w:cstheme="minorHAnsi"/>
                <w:bCs/>
                <w:sz w:val="22"/>
                <w:szCs w:val="22"/>
              </w:rPr>
              <w:t xml:space="preserve"> </w:t>
            </w:r>
            <w:r w:rsidR="00C735E0" w:rsidRPr="00C735E0">
              <w:rPr>
                <w:rFonts w:asciiTheme="minorHAnsi" w:hAnsiTheme="minorHAnsi" w:cstheme="minorHAnsi"/>
                <w:bCs/>
                <w:sz w:val="22"/>
                <w:szCs w:val="22"/>
              </w:rPr>
              <w:tab/>
              <w:t>wymianę danych, o których mowa w art. 24 e ust. 2 ustawy z systemem</w:t>
            </w:r>
            <w:r w:rsidR="00C735E0">
              <w:rPr>
                <w:rFonts w:asciiTheme="minorHAnsi" w:hAnsiTheme="minorHAnsi" w:cstheme="minorHAnsi"/>
                <w:bCs/>
                <w:sz w:val="22"/>
                <w:szCs w:val="22"/>
              </w:rPr>
              <w:t>…</w:t>
            </w:r>
            <w:r>
              <w:rPr>
                <w:rFonts w:asciiTheme="minorHAnsi" w:hAnsiTheme="minorHAnsi" w:cstheme="minorHAnsi"/>
                <w:bCs/>
                <w:sz w:val="22"/>
                <w:szCs w:val="22"/>
              </w:rPr>
              <w:t>”</w:t>
            </w:r>
          </w:p>
          <w:p w14:paraId="035C3B5E" w14:textId="77777777" w:rsidR="00841BBD" w:rsidRDefault="00841BBD" w:rsidP="00AD7492">
            <w:pPr>
              <w:rPr>
                <w:rFonts w:asciiTheme="minorHAnsi" w:hAnsiTheme="minorHAnsi" w:cstheme="minorHAnsi"/>
                <w:bCs/>
                <w:sz w:val="22"/>
                <w:szCs w:val="22"/>
              </w:rPr>
            </w:pPr>
          </w:p>
          <w:p w14:paraId="6D07AB95" w14:textId="2F3B7F10" w:rsidR="00AD7492" w:rsidRPr="00AD7492" w:rsidRDefault="00841BBD" w:rsidP="00AD7492">
            <w:pPr>
              <w:rPr>
                <w:rFonts w:asciiTheme="minorHAnsi" w:hAnsiTheme="minorHAnsi" w:cstheme="minorHAnsi"/>
                <w:bCs/>
                <w:sz w:val="22"/>
                <w:szCs w:val="22"/>
              </w:rPr>
            </w:pPr>
            <w:r w:rsidRPr="00841BBD">
              <w:rPr>
                <w:rFonts w:asciiTheme="minorHAnsi" w:hAnsiTheme="minorHAnsi" w:cstheme="minorHAnsi"/>
                <w:bCs/>
                <w:sz w:val="22"/>
                <w:szCs w:val="22"/>
              </w:rPr>
              <w:t xml:space="preserve">Projektowany przepis ma charakter funkcjonalny i nie stanowi samodzielnej podstawy prawnej </w:t>
            </w:r>
            <w:r w:rsidR="00C735E0">
              <w:rPr>
                <w:rFonts w:asciiTheme="minorHAnsi" w:hAnsiTheme="minorHAnsi" w:cstheme="minorHAnsi"/>
                <w:bCs/>
                <w:sz w:val="22"/>
                <w:szCs w:val="22"/>
              </w:rPr>
              <w:t xml:space="preserve">do </w:t>
            </w:r>
            <w:r w:rsidRPr="00841BBD">
              <w:rPr>
                <w:rFonts w:asciiTheme="minorHAnsi" w:hAnsiTheme="minorHAnsi" w:cstheme="minorHAnsi"/>
                <w:bCs/>
                <w:sz w:val="22"/>
                <w:szCs w:val="22"/>
              </w:rPr>
              <w:t>przetwarzania danych ani nie rozszerza zakresu danych określonych w ustaw</w:t>
            </w:r>
            <w:r w:rsidR="00C735E0">
              <w:rPr>
                <w:rFonts w:asciiTheme="minorHAnsi" w:hAnsiTheme="minorHAnsi" w:cstheme="minorHAnsi"/>
                <w:bCs/>
                <w:sz w:val="22"/>
                <w:szCs w:val="22"/>
              </w:rPr>
              <w:t>ie o PRM, ustawie o świadczeniach opieki zdrowotnej finansowanych ze środków publicznych czy w ustawie o SIOZ</w:t>
            </w:r>
            <w:r w:rsidRPr="00841BBD">
              <w:rPr>
                <w:rFonts w:asciiTheme="minorHAnsi" w:hAnsiTheme="minorHAnsi" w:cstheme="minorHAnsi"/>
                <w:bCs/>
                <w:sz w:val="22"/>
                <w:szCs w:val="22"/>
              </w:rPr>
              <w:t xml:space="preserve">. </w:t>
            </w:r>
            <w:r w:rsidR="00C735E0">
              <w:rPr>
                <w:rFonts w:asciiTheme="minorHAnsi" w:hAnsiTheme="minorHAnsi" w:cstheme="minorHAnsi"/>
                <w:bCs/>
                <w:sz w:val="22"/>
                <w:szCs w:val="22"/>
              </w:rPr>
              <w:br/>
              <w:t xml:space="preserve">(przykładowo: </w:t>
            </w:r>
            <w:r w:rsidRPr="00841BBD">
              <w:rPr>
                <w:rFonts w:asciiTheme="minorHAnsi" w:hAnsiTheme="minorHAnsi" w:cstheme="minorHAnsi"/>
                <w:bCs/>
                <w:sz w:val="22"/>
                <w:szCs w:val="22"/>
              </w:rPr>
              <w:t>art. 24 e ust. 3 pkt 1 i 2, ust. 3b i 5 ustawy o PRM czy art. 12 ust. 1 pkt 9 ustawy o sioz</w:t>
            </w:r>
            <w:r w:rsidR="00C735E0">
              <w:rPr>
                <w:rFonts w:asciiTheme="minorHAnsi" w:hAnsiTheme="minorHAnsi" w:cstheme="minorHAnsi"/>
                <w:bCs/>
                <w:sz w:val="22"/>
                <w:szCs w:val="22"/>
              </w:rPr>
              <w:t>)</w:t>
            </w:r>
            <w:r w:rsidRPr="00841BBD">
              <w:rPr>
                <w:rFonts w:asciiTheme="minorHAnsi" w:hAnsiTheme="minorHAnsi" w:cstheme="minorHAnsi"/>
                <w:bCs/>
                <w:sz w:val="22"/>
                <w:szCs w:val="22"/>
              </w:rPr>
              <w:t>.</w:t>
            </w:r>
            <w:r>
              <w:rPr>
                <w:rFonts w:asciiTheme="minorHAnsi" w:hAnsiTheme="minorHAnsi" w:cstheme="minorHAnsi"/>
                <w:bCs/>
                <w:sz w:val="22"/>
                <w:szCs w:val="22"/>
              </w:rPr>
              <w:t xml:space="preserve"> Należy mieć na uwadze</w:t>
            </w:r>
            <w:r w:rsidR="00C735E0">
              <w:rPr>
                <w:rFonts w:asciiTheme="minorHAnsi" w:hAnsiTheme="minorHAnsi" w:cstheme="minorHAnsi"/>
                <w:bCs/>
                <w:sz w:val="22"/>
                <w:szCs w:val="22"/>
              </w:rPr>
              <w:t>,</w:t>
            </w:r>
            <w:r>
              <w:rPr>
                <w:rFonts w:asciiTheme="minorHAnsi" w:hAnsiTheme="minorHAnsi" w:cstheme="minorHAnsi"/>
                <w:bCs/>
                <w:sz w:val="22"/>
                <w:szCs w:val="22"/>
              </w:rPr>
              <w:t xml:space="preserve"> że </w:t>
            </w:r>
            <w:r w:rsidR="00C735E0">
              <w:rPr>
                <w:rFonts w:asciiTheme="minorHAnsi" w:hAnsiTheme="minorHAnsi" w:cstheme="minorHAnsi"/>
                <w:bCs/>
                <w:sz w:val="22"/>
                <w:szCs w:val="22"/>
              </w:rPr>
              <w:t xml:space="preserve">opisana w przepisie przetwarzanie danych wrażliwych odbywa się już obecnie i jest zgodne z art. 9 RODO </w:t>
            </w:r>
          </w:p>
        </w:tc>
      </w:tr>
      <w:tr w:rsidR="00AD7492" w:rsidRPr="00411523" w14:paraId="096FF91B" w14:textId="77777777" w:rsidTr="008A60E1">
        <w:tc>
          <w:tcPr>
            <w:tcW w:w="0" w:type="auto"/>
            <w:vAlign w:val="center"/>
          </w:tcPr>
          <w:p w14:paraId="70C7254D" w14:textId="30A4DE87" w:rsidR="00AD7492" w:rsidRPr="00411523" w:rsidRDefault="00756ADE" w:rsidP="004D086F">
            <w:pPr>
              <w:jc w:val="center"/>
              <w:rPr>
                <w:rFonts w:asciiTheme="minorHAnsi" w:hAnsiTheme="minorHAnsi" w:cstheme="minorHAnsi"/>
                <w:b/>
                <w:sz w:val="22"/>
                <w:szCs w:val="22"/>
              </w:rPr>
            </w:pPr>
            <w:r>
              <w:rPr>
                <w:rFonts w:asciiTheme="minorHAnsi" w:hAnsiTheme="minorHAnsi" w:cstheme="minorHAnsi"/>
                <w:b/>
                <w:sz w:val="22"/>
                <w:szCs w:val="22"/>
              </w:rPr>
              <w:t>2</w:t>
            </w:r>
          </w:p>
        </w:tc>
        <w:tc>
          <w:tcPr>
            <w:tcW w:w="0" w:type="auto"/>
            <w:vAlign w:val="center"/>
          </w:tcPr>
          <w:p w14:paraId="29BB3A8C" w14:textId="77777777" w:rsidR="00AD7492" w:rsidRPr="00AD7492"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 xml:space="preserve">Minister </w:t>
            </w:r>
          </w:p>
          <w:p w14:paraId="22EEE4B3" w14:textId="0EC1D16C" w:rsidR="00AD7492" w:rsidRPr="00411523"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Cyfryzacji</w:t>
            </w:r>
          </w:p>
        </w:tc>
        <w:tc>
          <w:tcPr>
            <w:tcW w:w="0" w:type="auto"/>
            <w:vAlign w:val="center"/>
          </w:tcPr>
          <w:p w14:paraId="7486E8A4" w14:textId="77777777"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 xml:space="preserve">§ 1 pkt 2 lit. d </w:t>
            </w:r>
          </w:p>
          <w:p w14:paraId="7697CB98" w14:textId="77777777"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 xml:space="preserve">projektu w </w:t>
            </w:r>
          </w:p>
          <w:p w14:paraId="2596AD5C" w14:textId="77777777"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zakresie</w:t>
            </w:r>
            <w:r>
              <w:rPr>
                <w:rFonts w:asciiTheme="minorHAnsi" w:hAnsiTheme="minorHAnsi" w:cstheme="minorHAnsi"/>
                <w:bCs/>
                <w:sz w:val="22"/>
                <w:szCs w:val="22"/>
              </w:rPr>
              <w:t xml:space="preserve"> </w:t>
            </w:r>
            <w:r w:rsidRPr="00AD7492">
              <w:rPr>
                <w:rFonts w:asciiTheme="minorHAnsi" w:hAnsiTheme="minorHAnsi" w:cstheme="minorHAnsi"/>
                <w:bCs/>
                <w:sz w:val="22"/>
                <w:szCs w:val="22"/>
              </w:rPr>
              <w:t xml:space="preserve">dodawanego w </w:t>
            </w:r>
          </w:p>
          <w:p w14:paraId="208566FC" w14:textId="77777777"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 xml:space="preserve">zmienianym </w:t>
            </w:r>
          </w:p>
          <w:p w14:paraId="38CC8CBE" w14:textId="77777777"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 xml:space="preserve">rozporządzeniu w </w:t>
            </w:r>
          </w:p>
          <w:p w14:paraId="41C865E4" w14:textId="1A401B89" w:rsidR="00AD7492" w:rsidRPr="00AD7492" w:rsidRDefault="00AD7492" w:rsidP="00AD7492">
            <w:pPr>
              <w:jc w:val="center"/>
              <w:rPr>
                <w:rFonts w:asciiTheme="minorHAnsi" w:hAnsiTheme="minorHAnsi" w:cstheme="minorHAnsi"/>
                <w:bCs/>
                <w:sz w:val="22"/>
                <w:szCs w:val="22"/>
              </w:rPr>
            </w:pPr>
            <w:r w:rsidRPr="00AD7492">
              <w:rPr>
                <w:rFonts w:asciiTheme="minorHAnsi" w:hAnsiTheme="minorHAnsi" w:cstheme="minorHAnsi"/>
                <w:bCs/>
                <w:sz w:val="22"/>
                <w:szCs w:val="22"/>
              </w:rPr>
              <w:t>§ 3 pkt 10a</w:t>
            </w:r>
          </w:p>
        </w:tc>
        <w:tc>
          <w:tcPr>
            <w:tcW w:w="0" w:type="auto"/>
            <w:vAlign w:val="center"/>
          </w:tcPr>
          <w:p w14:paraId="3FF9C4E1" w14:textId="4939B04C" w:rsidR="00AD7492" w:rsidRPr="00AD7492" w:rsidRDefault="00AD7492" w:rsidP="00774C01">
            <w:pPr>
              <w:rPr>
                <w:rFonts w:asciiTheme="minorHAnsi" w:hAnsiTheme="minorHAnsi" w:cstheme="minorHAnsi"/>
                <w:bCs/>
                <w:sz w:val="22"/>
                <w:szCs w:val="22"/>
              </w:rPr>
            </w:pPr>
            <w:r w:rsidRPr="00AD7492">
              <w:rPr>
                <w:rFonts w:asciiTheme="minorHAnsi" w:hAnsiTheme="minorHAnsi" w:cstheme="minorHAnsi"/>
                <w:bCs/>
                <w:sz w:val="22"/>
                <w:szCs w:val="22"/>
              </w:rPr>
              <w:t>Nowa funkcjonalność pozwala na bieżące monitorowanie pracy zespołów ratownictwa medycznego i dyspozytorów przez organ</w:t>
            </w:r>
            <w:r>
              <w:rPr>
                <w:rFonts w:asciiTheme="minorHAnsi" w:hAnsiTheme="minorHAnsi" w:cstheme="minorHAnsi"/>
                <w:bCs/>
                <w:sz w:val="22"/>
                <w:szCs w:val="22"/>
              </w:rPr>
              <w:t xml:space="preserve"> </w:t>
            </w:r>
            <w:r w:rsidRPr="00AD7492">
              <w:rPr>
                <w:rFonts w:asciiTheme="minorHAnsi" w:hAnsiTheme="minorHAnsi" w:cstheme="minorHAnsi"/>
                <w:bCs/>
                <w:sz w:val="22"/>
                <w:szCs w:val="22"/>
              </w:rPr>
              <w:t>centralny (KCMRM). Należy upewnić się, czy uprawnienie to nie wiąże się z nadmiernym wglądem w dane medyczne pacjentów, które nie są niezbędne do zarządzania kryzysowego.  O ile bowiem monitorowanie statusów i lokalizacji jest uzasadnione, o tyle nieograniczony dostęp do treści rozmów lub szczegółowej dokumentacji medycznej każdego pacjenta w czasie rzeczywistym przez analityków KCMRM może naruszać zasadę proporcjonalności, jeśli nie jest ściśle powiązane z wystąpieniem zdarzenia o charakterze masowym lub CBRNE. Przepis łączy te sytuacje wyrażeniem „w tym”, co sugeruje, że monitorowanie może dotyczyć każdego zdarzenia. Powyższe może być niezgodne z art. 5 ust. 1 lit. a RODO, który wymaga, aby dane osobowe były przetwarzane zgodnie z prawem, rzetelnie i w sposób przejrzysty dla osoby, której dane dotyczą oraz art. 6 ust. 1 lit. e RODO (zadanie realizowane w interesie publicznym).</w:t>
            </w:r>
          </w:p>
        </w:tc>
        <w:tc>
          <w:tcPr>
            <w:tcW w:w="0" w:type="auto"/>
            <w:vAlign w:val="center"/>
          </w:tcPr>
          <w:p w14:paraId="6C02B88A" w14:textId="5E5034AE" w:rsidR="00AD7492" w:rsidRPr="00AD7492" w:rsidRDefault="00AD7492" w:rsidP="00774C01">
            <w:pPr>
              <w:rPr>
                <w:rFonts w:asciiTheme="minorHAnsi" w:hAnsiTheme="minorHAnsi" w:cstheme="minorHAnsi"/>
                <w:bCs/>
                <w:sz w:val="22"/>
                <w:szCs w:val="22"/>
              </w:rPr>
            </w:pPr>
            <w:r w:rsidRPr="00AD7492">
              <w:rPr>
                <w:rFonts w:asciiTheme="minorHAnsi" w:hAnsiTheme="minorHAnsi" w:cstheme="minorHAnsi"/>
                <w:bCs/>
                <w:sz w:val="22"/>
                <w:szCs w:val="22"/>
              </w:rPr>
              <w:t>Należy zweryfikować, czy zakres dostępu do danych osobowych dla KCMRM jest ograniczony wyłącznie do danych niezbędnych do koordynacji działań na szczeblu krajowym</w:t>
            </w:r>
            <w:r>
              <w:rPr>
                <w:rFonts w:asciiTheme="minorHAnsi" w:hAnsiTheme="minorHAnsi" w:cstheme="minorHAnsi"/>
                <w:bCs/>
                <w:sz w:val="22"/>
                <w:szCs w:val="22"/>
              </w:rPr>
              <w:t xml:space="preserve"> </w:t>
            </w:r>
            <w:r w:rsidRPr="00AD7492">
              <w:rPr>
                <w:rFonts w:asciiTheme="minorHAnsi" w:hAnsiTheme="minorHAnsi" w:cstheme="minorHAnsi"/>
                <w:bCs/>
                <w:sz w:val="22"/>
                <w:szCs w:val="22"/>
              </w:rPr>
              <w:t>następnie odpowiednio zmodyfikować brzmienie tego przepisu. W przypadku pozostawienia przepisu bez zmian proponuje się rozszerzenie uzasadnienia projektu o zagadnienia wykazujące spełnienia zasady proporcjonalności tej nowej funkcjonalności względem prywatności osób fizycznych.</w:t>
            </w:r>
          </w:p>
        </w:tc>
        <w:tc>
          <w:tcPr>
            <w:tcW w:w="0" w:type="auto"/>
            <w:vAlign w:val="center"/>
          </w:tcPr>
          <w:p w14:paraId="50AB7336" w14:textId="39518987" w:rsidR="00591FDE" w:rsidRDefault="00756ADE" w:rsidP="00AD7492">
            <w:pPr>
              <w:rPr>
                <w:rFonts w:asciiTheme="minorHAnsi" w:hAnsiTheme="minorHAnsi" w:cstheme="minorHAnsi"/>
                <w:bCs/>
                <w:sz w:val="22"/>
                <w:szCs w:val="22"/>
              </w:rPr>
            </w:pPr>
            <w:r>
              <w:rPr>
                <w:rFonts w:asciiTheme="minorHAnsi" w:hAnsiTheme="minorHAnsi" w:cstheme="minorHAnsi"/>
                <w:bCs/>
                <w:sz w:val="22"/>
                <w:szCs w:val="22"/>
              </w:rPr>
              <w:t xml:space="preserve">Uwaga </w:t>
            </w:r>
            <w:r w:rsidR="00591FDE">
              <w:rPr>
                <w:rFonts w:asciiTheme="minorHAnsi" w:hAnsiTheme="minorHAnsi" w:cstheme="minorHAnsi"/>
                <w:bCs/>
                <w:sz w:val="22"/>
                <w:szCs w:val="22"/>
              </w:rPr>
              <w:t>uwzględniona poprzez uzupełnienie uzasadnienia</w:t>
            </w:r>
          </w:p>
          <w:p w14:paraId="43F31E76" w14:textId="77777777" w:rsidR="00591FDE" w:rsidRDefault="00591FDE" w:rsidP="00AD7492">
            <w:pPr>
              <w:rPr>
                <w:rFonts w:asciiTheme="minorHAnsi" w:hAnsiTheme="minorHAnsi" w:cstheme="minorHAnsi"/>
                <w:bCs/>
                <w:sz w:val="22"/>
                <w:szCs w:val="22"/>
              </w:rPr>
            </w:pPr>
          </w:p>
          <w:p w14:paraId="3F6E66F1" w14:textId="7E092D8C" w:rsidR="00AD7492" w:rsidRPr="00AD7492" w:rsidRDefault="00756ADE" w:rsidP="00AD7492">
            <w:pPr>
              <w:rPr>
                <w:rFonts w:asciiTheme="minorHAnsi" w:hAnsiTheme="minorHAnsi" w:cstheme="minorHAnsi"/>
                <w:bCs/>
                <w:sz w:val="22"/>
                <w:szCs w:val="22"/>
              </w:rPr>
            </w:pPr>
            <w:r w:rsidRPr="00756ADE">
              <w:rPr>
                <w:rFonts w:asciiTheme="minorHAnsi" w:hAnsiTheme="minorHAnsi" w:cstheme="minorHAnsi"/>
                <w:bCs/>
                <w:sz w:val="22"/>
                <w:szCs w:val="22"/>
              </w:rPr>
              <w:t xml:space="preserve">Należy wskazać, że monitorowanie przebiegu zdarzeń przez Krajowe Centrum Monitorowania Ratownictwa Medycznego </w:t>
            </w:r>
            <w:r w:rsidR="00C735E0">
              <w:rPr>
                <w:rFonts w:asciiTheme="minorHAnsi" w:hAnsiTheme="minorHAnsi" w:cstheme="minorHAnsi"/>
                <w:bCs/>
                <w:sz w:val="22"/>
                <w:szCs w:val="22"/>
              </w:rPr>
              <w:t xml:space="preserve">stanowi </w:t>
            </w:r>
            <w:r w:rsidRPr="00756ADE">
              <w:rPr>
                <w:rFonts w:asciiTheme="minorHAnsi" w:hAnsiTheme="minorHAnsi" w:cstheme="minorHAnsi"/>
                <w:bCs/>
                <w:sz w:val="22"/>
                <w:szCs w:val="22"/>
              </w:rPr>
              <w:t xml:space="preserve">realizację zadania określonego w art. 27a ust. 2 pkt 6 ustawy z dnia 8 września 2006 r. o Państwowym Ratownictwie Medycznym. Monitorowanie to jest </w:t>
            </w:r>
            <w:r w:rsidR="00C735E0">
              <w:rPr>
                <w:rFonts w:asciiTheme="minorHAnsi" w:hAnsiTheme="minorHAnsi" w:cstheme="minorHAnsi"/>
                <w:bCs/>
                <w:sz w:val="22"/>
                <w:szCs w:val="22"/>
              </w:rPr>
              <w:t>realizowane</w:t>
            </w:r>
            <w:r w:rsidRPr="00756ADE">
              <w:rPr>
                <w:rFonts w:asciiTheme="minorHAnsi" w:hAnsiTheme="minorHAnsi" w:cstheme="minorHAnsi"/>
                <w:bCs/>
                <w:sz w:val="22"/>
                <w:szCs w:val="22"/>
              </w:rPr>
              <w:t xml:space="preserve"> przez osoby wykonujące zawód medyczny, obowiązane do zachowania w tajemnicy informacji związanych z pacjentem, w szczególności informacji dotyczących stanu zdrowia, zgodnie z art. 13 i art. 14 ustawy z dnia 6 listopada 2008 r. o prawach pacjenta i Rzeczniku Praw Pacjenta.</w:t>
            </w:r>
          </w:p>
        </w:tc>
      </w:tr>
      <w:tr w:rsidR="00AD7492" w:rsidRPr="00411523" w14:paraId="3C7F6260" w14:textId="77777777" w:rsidTr="008A60E1">
        <w:tc>
          <w:tcPr>
            <w:tcW w:w="0" w:type="auto"/>
            <w:vAlign w:val="center"/>
          </w:tcPr>
          <w:p w14:paraId="05790681" w14:textId="3FF9B4BD" w:rsidR="00AD7492" w:rsidRPr="00411523" w:rsidRDefault="00756ADE" w:rsidP="004D086F">
            <w:pPr>
              <w:jc w:val="center"/>
              <w:rPr>
                <w:rFonts w:asciiTheme="minorHAnsi" w:hAnsiTheme="minorHAnsi" w:cstheme="minorHAnsi"/>
                <w:b/>
                <w:sz w:val="22"/>
                <w:szCs w:val="22"/>
              </w:rPr>
            </w:pPr>
            <w:r>
              <w:rPr>
                <w:rFonts w:asciiTheme="minorHAnsi" w:hAnsiTheme="minorHAnsi" w:cstheme="minorHAnsi"/>
                <w:b/>
                <w:sz w:val="22"/>
                <w:szCs w:val="22"/>
              </w:rPr>
              <w:t>3</w:t>
            </w:r>
          </w:p>
        </w:tc>
        <w:tc>
          <w:tcPr>
            <w:tcW w:w="0" w:type="auto"/>
            <w:vAlign w:val="center"/>
          </w:tcPr>
          <w:p w14:paraId="080F4FE8" w14:textId="77777777" w:rsidR="00AD7492" w:rsidRPr="00AD7492"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 xml:space="preserve">Minister </w:t>
            </w:r>
          </w:p>
          <w:p w14:paraId="0EFB240F" w14:textId="4E791EEB" w:rsidR="00AD7492" w:rsidRPr="00411523"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Cyfryzacji</w:t>
            </w:r>
          </w:p>
        </w:tc>
        <w:tc>
          <w:tcPr>
            <w:tcW w:w="0" w:type="auto"/>
            <w:vAlign w:val="center"/>
          </w:tcPr>
          <w:p w14:paraId="7FC5DC96" w14:textId="77777777" w:rsidR="00774C01" w:rsidRPr="00774C01" w:rsidRDefault="00774C01" w:rsidP="00774C01">
            <w:pPr>
              <w:jc w:val="center"/>
              <w:rPr>
                <w:rFonts w:asciiTheme="minorHAnsi" w:hAnsiTheme="minorHAnsi" w:cstheme="minorHAnsi"/>
                <w:bCs/>
                <w:sz w:val="22"/>
                <w:szCs w:val="22"/>
              </w:rPr>
            </w:pPr>
            <w:r w:rsidRPr="00774C01">
              <w:rPr>
                <w:rFonts w:asciiTheme="minorHAnsi" w:hAnsiTheme="minorHAnsi" w:cstheme="minorHAnsi"/>
                <w:bCs/>
                <w:sz w:val="22"/>
                <w:szCs w:val="22"/>
              </w:rPr>
              <w:t xml:space="preserve">§ 1 pkt 2 lit. e </w:t>
            </w:r>
          </w:p>
          <w:p w14:paraId="64AC75E7" w14:textId="77777777" w:rsidR="00774C01" w:rsidRPr="00774C01" w:rsidRDefault="00774C01" w:rsidP="00774C01">
            <w:pPr>
              <w:jc w:val="center"/>
              <w:rPr>
                <w:rFonts w:asciiTheme="minorHAnsi" w:hAnsiTheme="minorHAnsi" w:cstheme="minorHAnsi"/>
                <w:bCs/>
                <w:sz w:val="22"/>
                <w:szCs w:val="22"/>
              </w:rPr>
            </w:pPr>
            <w:r w:rsidRPr="00774C01">
              <w:rPr>
                <w:rFonts w:asciiTheme="minorHAnsi" w:hAnsiTheme="minorHAnsi" w:cstheme="minorHAnsi"/>
                <w:bCs/>
                <w:sz w:val="22"/>
                <w:szCs w:val="22"/>
              </w:rPr>
              <w:t xml:space="preserve">projektu w </w:t>
            </w:r>
          </w:p>
          <w:p w14:paraId="4734123C" w14:textId="77777777" w:rsidR="00774C01" w:rsidRPr="00774C01" w:rsidRDefault="00774C01" w:rsidP="00774C01">
            <w:pPr>
              <w:jc w:val="center"/>
              <w:rPr>
                <w:rFonts w:asciiTheme="minorHAnsi" w:hAnsiTheme="minorHAnsi" w:cstheme="minorHAnsi"/>
                <w:bCs/>
                <w:sz w:val="22"/>
                <w:szCs w:val="22"/>
              </w:rPr>
            </w:pPr>
            <w:r w:rsidRPr="00774C01">
              <w:rPr>
                <w:rFonts w:asciiTheme="minorHAnsi" w:hAnsiTheme="minorHAnsi" w:cstheme="minorHAnsi"/>
                <w:bCs/>
                <w:sz w:val="22"/>
                <w:szCs w:val="22"/>
              </w:rPr>
              <w:t xml:space="preserve">zakresie § 3 pkt 17 </w:t>
            </w:r>
          </w:p>
          <w:p w14:paraId="33AC502E" w14:textId="77777777" w:rsidR="00774C01" w:rsidRPr="00774C01" w:rsidRDefault="00774C01" w:rsidP="00774C01">
            <w:pPr>
              <w:jc w:val="center"/>
              <w:rPr>
                <w:rFonts w:asciiTheme="minorHAnsi" w:hAnsiTheme="minorHAnsi" w:cstheme="minorHAnsi"/>
                <w:bCs/>
                <w:sz w:val="22"/>
                <w:szCs w:val="22"/>
              </w:rPr>
            </w:pPr>
            <w:r w:rsidRPr="00774C01">
              <w:rPr>
                <w:rFonts w:asciiTheme="minorHAnsi" w:hAnsiTheme="minorHAnsi" w:cstheme="minorHAnsi"/>
                <w:bCs/>
                <w:sz w:val="22"/>
                <w:szCs w:val="22"/>
              </w:rPr>
              <w:t xml:space="preserve">w zmienianym </w:t>
            </w:r>
          </w:p>
          <w:p w14:paraId="53A318D5" w14:textId="748CBA04" w:rsidR="00AD7492" w:rsidRPr="00AD7492" w:rsidRDefault="00774C01" w:rsidP="00774C01">
            <w:pPr>
              <w:jc w:val="center"/>
              <w:rPr>
                <w:rFonts w:asciiTheme="minorHAnsi" w:hAnsiTheme="minorHAnsi" w:cstheme="minorHAnsi"/>
                <w:bCs/>
                <w:sz w:val="22"/>
                <w:szCs w:val="22"/>
              </w:rPr>
            </w:pPr>
            <w:r w:rsidRPr="00774C01">
              <w:rPr>
                <w:rFonts w:asciiTheme="minorHAnsi" w:hAnsiTheme="minorHAnsi" w:cstheme="minorHAnsi"/>
                <w:bCs/>
                <w:sz w:val="22"/>
                <w:szCs w:val="22"/>
              </w:rPr>
              <w:t>rozporządzeniu</w:t>
            </w:r>
          </w:p>
        </w:tc>
        <w:tc>
          <w:tcPr>
            <w:tcW w:w="0" w:type="auto"/>
            <w:vAlign w:val="center"/>
          </w:tcPr>
          <w:p w14:paraId="32FC84DD" w14:textId="7EE1BFAA" w:rsidR="00AD7492" w:rsidRPr="00AD7492" w:rsidRDefault="00774C01" w:rsidP="00774C01">
            <w:pPr>
              <w:rPr>
                <w:rFonts w:asciiTheme="minorHAnsi" w:hAnsiTheme="minorHAnsi" w:cstheme="minorHAnsi"/>
                <w:bCs/>
                <w:sz w:val="22"/>
                <w:szCs w:val="22"/>
              </w:rPr>
            </w:pPr>
            <w:r w:rsidRPr="00774C01">
              <w:rPr>
                <w:rFonts w:asciiTheme="minorHAnsi" w:hAnsiTheme="minorHAnsi" w:cstheme="minorHAnsi"/>
                <w:bCs/>
                <w:sz w:val="22"/>
                <w:szCs w:val="22"/>
              </w:rPr>
              <w:t xml:space="preserve">Przepis ten definiuje środowisko szkoleniowe, jako posiadające funkcjonalności środowiska produkcyjnego, ale nie precyzuje, na jakich danych będzie ono operować. Udostępnienie studentom kierunków medycznych dostępu do systemu, który mógłby zawierać skopiowane dane rzeczywiste pacjentów (nawet archiwalne) do celów </w:t>
            </w:r>
            <w:r w:rsidRPr="00774C01">
              <w:rPr>
                <w:rFonts w:asciiTheme="minorHAnsi" w:hAnsiTheme="minorHAnsi" w:cstheme="minorHAnsi"/>
                <w:bCs/>
                <w:sz w:val="22"/>
                <w:szCs w:val="22"/>
              </w:rPr>
              <w:lastRenderedPageBreak/>
              <w:t>ćwiczeniowych, byłoby naruszeniem zasady celowości i minimalizacji danych. Dane pacjentów z SWD PRM są zbierane w celu ratowania życia i zdrowia, a nie w celach dydaktycznych dla studentów. Zgodnie z art. 5 ust. 1 lit. b RODO dane osobowe muszą być zbierane w konkretnych, wyraźnych i prawnie uzasadnionych celach i nieprzetwarzane dalej w sposób niezgodny z tymi celami.</w:t>
            </w:r>
            <w:r>
              <w:rPr>
                <w:rFonts w:asciiTheme="minorHAnsi" w:hAnsiTheme="minorHAnsi" w:cstheme="minorHAnsi"/>
                <w:bCs/>
                <w:sz w:val="22"/>
                <w:szCs w:val="22"/>
              </w:rPr>
              <w:t xml:space="preserve"> </w:t>
            </w:r>
            <w:r w:rsidRPr="00774C01">
              <w:rPr>
                <w:rFonts w:asciiTheme="minorHAnsi" w:hAnsiTheme="minorHAnsi" w:cstheme="minorHAnsi"/>
                <w:bCs/>
                <w:sz w:val="22"/>
                <w:szCs w:val="22"/>
              </w:rPr>
              <w:t>Ponadto, zgodnie z art. 32 RODO, uwzględniając stan wiedzy technicznej, koszt wdrażania oraz</w:t>
            </w:r>
            <w:r>
              <w:rPr>
                <w:rFonts w:asciiTheme="minorHAnsi" w:hAnsiTheme="minorHAnsi" w:cstheme="minorHAnsi"/>
                <w:bCs/>
                <w:sz w:val="22"/>
                <w:szCs w:val="22"/>
              </w:rPr>
              <w:t xml:space="preserve"> </w:t>
            </w:r>
            <w:r w:rsidRPr="00774C01">
              <w:rPr>
                <w:rFonts w:asciiTheme="minorHAnsi" w:hAnsiTheme="minorHAnsi" w:cstheme="minorHAnsi"/>
                <w:bCs/>
                <w:sz w:val="22"/>
                <w:szCs w:val="22"/>
              </w:rPr>
              <w:t>charakter, zakres, kontekst i cele przetwarzania oraz ryzyko naruszenia praw lub wolności osób fizycznych o różnym prawdopodobieństwie wystąpienia i wadze, administrator i podmiot przetwarzający wdrażają odpowiednie środki techniczne i organizacyjne, aby zapewnić stopień bezpieczeństwa odpowiadający temu ryzyku.</w:t>
            </w:r>
          </w:p>
        </w:tc>
        <w:tc>
          <w:tcPr>
            <w:tcW w:w="0" w:type="auto"/>
            <w:vAlign w:val="center"/>
          </w:tcPr>
          <w:p w14:paraId="1C81D1D4" w14:textId="674ADD4E" w:rsidR="00AD7492" w:rsidRPr="00AD7492" w:rsidRDefault="00774C01" w:rsidP="00774C01">
            <w:pPr>
              <w:rPr>
                <w:rFonts w:asciiTheme="minorHAnsi" w:hAnsiTheme="minorHAnsi" w:cstheme="minorHAnsi"/>
                <w:bCs/>
                <w:sz w:val="22"/>
                <w:szCs w:val="22"/>
              </w:rPr>
            </w:pPr>
            <w:r w:rsidRPr="00774C01">
              <w:rPr>
                <w:rFonts w:asciiTheme="minorHAnsi" w:hAnsiTheme="minorHAnsi" w:cstheme="minorHAnsi"/>
                <w:bCs/>
                <w:sz w:val="22"/>
                <w:szCs w:val="22"/>
              </w:rPr>
              <w:lastRenderedPageBreak/>
              <w:t>Należy wprost w przepisie zagwarantować, że środowisko szkoleniowe operuje wyłącznie na danych syntetycznych lub trwale zanonimizowanych, a migracja danych osobowych ze środowiska produkcyjnego do szkoleniowego jest zabroniona.</w:t>
            </w:r>
          </w:p>
        </w:tc>
        <w:tc>
          <w:tcPr>
            <w:tcW w:w="0" w:type="auto"/>
            <w:vAlign w:val="center"/>
          </w:tcPr>
          <w:p w14:paraId="738BB724" w14:textId="36A6AFB3" w:rsidR="00C735E0" w:rsidRPr="00BD5DBF" w:rsidRDefault="00BD5DBF" w:rsidP="00C735E0">
            <w:pPr>
              <w:rPr>
                <w:rFonts w:asciiTheme="minorHAnsi" w:hAnsiTheme="minorHAnsi" w:cstheme="minorHAnsi"/>
                <w:bCs/>
                <w:sz w:val="22"/>
                <w:szCs w:val="22"/>
              </w:rPr>
            </w:pPr>
            <w:r w:rsidRPr="00BD5DBF">
              <w:rPr>
                <w:rFonts w:asciiTheme="minorHAnsi" w:hAnsiTheme="minorHAnsi" w:cstheme="minorHAnsi"/>
                <w:bCs/>
                <w:sz w:val="22"/>
                <w:szCs w:val="22"/>
              </w:rPr>
              <w:t xml:space="preserve">Uwaga </w:t>
            </w:r>
            <w:r w:rsidR="00C735E0">
              <w:rPr>
                <w:rFonts w:asciiTheme="minorHAnsi" w:hAnsiTheme="minorHAnsi" w:cstheme="minorHAnsi"/>
                <w:bCs/>
                <w:sz w:val="22"/>
                <w:szCs w:val="22"/>
              </w:rPr>
              <w:t>nie</w:t>
            </w:r>
            <w:r w:rsidRPr="00BD5DBF">
              <w:rPr>
                <w:rFonts w:asciiTheme="minorHAnsi" w:hAnsiTheme="minorHAnsi" w:cstheme="minorHAnsi"/>
                <w:bCs/>
                <w:sz w:val="22"/>
                <w:szCs w:val="22"/>
              </w:rPr>
              <w:t xml:space="preserve">uwzględniona </w:t>
            </w:r>
          </w:p>
          <w:p w14:paraId="3B5B66B1" w14:textId="150DA8B1" w:rsidR="00AD7492" w:rsidRPr="00AD7492" w:rsidRDefault="00C735E0" w:rsidP="00BD5DBF">
            <w:pPr>
              <w:rPr>
                <w:rFonts w:asciiTheme="minorHAnsi" w:hAnsiTheme="minorHAnsi" w:cstheme="minorHAnsi"/>
                <w:bCs/>
                <w:sz w:val="22"/>
                <w:szCs w:val="22"/>
              </w:rPr>
            </w:pPr>
            <w:r>
              <w:rPr>
                <w:rFonts w:asciiTheme="minorHAnsi" w:hAnsiTheme="minorHAnsi" w:cstheme="minorHAnsi"/>
                <w:bCs/>
                <w:sz w:val="22"/>
                <w:szCs w:val="22"/>
              </w:rPr>
              <w:t>Ś</w:t>
            </w:r>
            <w:r w:rsidR="00BD5DBF" w:rsidRPr="00BD5DBF">
              <w:rPr>
                <w:rFonts w:asciiTheme="minorHAnsi" w:hAnsiTheme="minorHAnsi" w:cstheme="minorHAnsi"/>
                <w:bCs/>
                <w:sz w:val="22"/>
                <w:szCs w:val="22"/>
              </w:rPr>
              <w:t xml:space="preserve">rodowisko </w:t>
            </w:r>
            <w:r>
              <w:rPr>
                <w:rFonts w:asciiTheme="minorHAnsi" w:hAnsiTheme="minorHAnsi" w:cstheme="minorHAnsi"/>
                <w:bCs/>
                <w:sz w:val="22"/>
                <w:szCs w:val="22"/>
              </w:rPr>
              <w:t xml:space="preserve">szkoleniowe </w:t>
            </w:r>
            <w:r w:rsidR="00BD5DBF" w:rsidRPr="00BD5DBF">
              <w:rPr>
                <w:rFonts w:asciiTheme="minorHAnsi" w:hAnsiTheme="minorHAnsi" w:cstheme="minorHAnsi"/>
                <w:bCs/>
                <w:sz w:val="22"/>
                <w:szCs w:val="22"/>
              </w:rPr>
              <w:t>nie będzie wykorzystywało danych rzeczywistych pacjentów</w:t>
            </w:r>
            <w:r w:rsidR="00790E62">
              <w:rPr>
                <w:rFonts w:asciiTheme="minorHAnsi" w:hAnsiTheme="minorHAnsi" w:cstheme="minorHAnsi"/>
                <w:bCs/>
                <w:sz w:val="22"/>
                <w:szCs w:val="22"/>
              </w:rPr>
              <w:t>,</w:t>
            </w:r>
            <w:r w:rsidR="00BD5DBF" w:rsidRPr="00BD5DBF">
              <w:rPr>
                <w:rFonts w:asciiTheme="minorHAnsi" w:hAnsiTheme="minorHAnsi" w:cstheme="minorHAnsi"/>
                <w:bCs/>
                <w:sz w:val="22"/>
                <w:szCs w:val="22"/>
              </w:rPr>
              <w:t xml:space="preserve"> pochodzących ze środowiska produkcyjnego. Na potrzeby szkoleń i ćwiczeń stosowane będą dane testowe, fikcyjne lub syntetyczne, odwzorowujące strukturę danych i reguły walidacyjne systemu, w tym </w:t>
            </w:r>
            <w:r w:rsidR="00BD5DBF" w:rsidRPr="00BD5DBF">
              <w:rPr>
                <w:rFonts w:asciiTheme="minorHAnsi" w:hAnsiTheme="minorHAnsi" w:cstheme="minorHAnsi"/>
                <w:bCs/>
                <w:sz w:val="22"/>
                <w:szCs w:val="22"/>
              </w:rPr>
              <w:lastRenderedPageBreak/>
              <w:t>poprawność techniczną identyfikatorów, bez możliwości przypisania ich do rzeczywistych osób.</w:t>
            </w:r>
          </w:p>
        </w:tc>
      </w:tr>
      <w:tr w:rsidR="00AD7492" w:rsidRPr="00411523" w14:paraId="7DD0D939" w14:textId="77777777" w:rsidTr="008A60E1">
        <w:tc>
          <w:tcPr>
            <w:tcW w:w="0" w:type="auto"/>
            <w:vAlign w:val="center"/>
          </w:tcPr>
          <w:p w14:paraId="5ADB75B9" w14:textId="69978C60" w:rsidR="00AD7492" w:rsidRPr="00411523" w:rsidRDefault="00756ADE" w:rsidP="004D086F">
            <w:pPr>
              <w:jc w:val="center"/>
              <w:rPr>
                <w:rFonts w:asciiTheme="minorHAnsi" w:hAnsiTheme="minorHAnsi" w:cstheme="minorHAnsi"/>
                <w:b/>
                <w:sz w:val="22"/>
                <w:szCs w:val="22"/>
              </w:rPr>
            </w:pPr>
            <w:r>
              <w:rPr>
                <w:rFonts w:asciiTheme="minorHAnsi" w:hAnsiTheme="minorHAnsi" w:cstheme="minorHAnsi"/>
                <w:b/>
                <w:sz w:val="22"/>
                <w:szCs w:val="22"/>
              </w:rPr>
              <w:lastRenderedPageBreak/>
              <w:t>4</w:t>
            </w:r>
          </w:p>
        </w:tc>
        <w:tc>
          <w:tcPr>
            <w:tcW w:w="0" w:type="auto"/>
            <w:vAlign w:val="center"/>
          </w:tcPr>
          <w:p w14:paraId="114347A9" w14:textId="77777777" w:rsidR="00AD7492" w:rsidRPr="00AD7492"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 xml:space="preserve">Minister </w:t>
            </w:r>
          </w:p>
          <w:p w14:paraId="304027FA" w14:textId="5D20D3BE" w:rsidR="00AD7492" w:rsidRPr="00411523" w:rsidRDefault="00AD7492" w:rsidP="00AD7492">
            <w:pPr>
              <w:jc w:val="center"/>
              <w:rPr>
                <w:rFonts w:asciiTheme="minorHAnsi" w:hAnsiTheme="minorHAnsi" w:cstheme="minorHAnsi"/>
                <w:b/>
                <w:sz w:val="22"/>
                <w:szCs w:val="22"/>
              </w:rPr>
            </w:pPr>
            <w:r w:rsidRPr="00AD7492">
              <w:rPr>
                <w:rFonts w:asciiTheme="minorHAnsi" w:hAnsiTheme="minorHAnsi" w:cstheme="minorHAnsi"/>
                <w:b/>
                <w:sz w:val="22"/>
                <w:szCs w:val="22"/>
              </w:rPr>
              <w:t>Cyfryzacji</w:t>
            </w:r>
          </w:p>
        </w:tc>
        <w:tc>
          <w:tcPr>
            <w:tcW w:w="0" w:type="auto"/>
            <w:vAlign w:val="center"/>
          </w:tcPr>
          <w:p w14:paraId="6C806D9E" w14:textId="77777777" w:rsidR="00774C01" w:rsidRPr="00774C01" w:rsidRDefault="00774C01" w:rsidP="00774C01">
            <w:pPr>
              <w:jc w:val="center"/>
              <w:rPr>
                <w:rFonts w:asciiTheme="minorHAnsi" w:hAnsiTheme="minorHAnsi" w:cstheme="minorHAnsi"/>
                <w:bCs/>
                <w:sz w:val="22"/>
                <w:szCs w:val="22"/>
              </w:rPr>
            </w:pPr>
            <w:r w:rsidRPr="00774C01">
              <w:rPr>
                <w:rFonts w:asciiTheme="minorHAnsi" w:hAnsiTheme="minorHAnsi" w:cstheme="minorHAnsi"/>
                <w:bCs/>
                <w:sz w:val="22"/>
                <w:szCs w:val="22"/>
              </w:rPr>
              <w:t xml:space="preserve">uzasadnienie </w:t>
            </w:r>
          </w:p>
          <w:p w14:paraId="284A7FA2" w14:textId="15FA3F8F" w:rsidR="00AD7492" w:rsidRPr="00AD7492" w:rsidRDefault="00774C01" w:rsidP="00774C01">
            <w:pPr>
              <w:jc w:val="center"/>
              <w:rPr>
                <w:rFonts w:asciiTheme="minorHAnsi" w:hAnsiTheme="minorHAnsi" w:cstheme="minorHAnsi"/>
                <w:bCs/>
                <w:sz w:val="22"/>
                <w:szCs w:val="22"/>
              </w:rPr>
            </w:pPr>
            <w:r w:rsidRPr="00774C01">
              <w:rPr>
                <w:rFonts w:asciiTheme="minorHAnsi" w:hAnsiTheme="minorHAnsi" w:cstheme="minorHAnsi"/>
                <w:bCs/>
                <w:sz w:val="22"/>
                <w:szCs w:val="22"/>
              </w:rPr>
              <w:t>projektu (str. 10)</w:t>
            </w:r>
          </w:p>
        </w:tc>
        <w:tc>
          <w:tcPr>
            <w:tcW w:w="0" w:type="auto"/>
            <w:vAlign w:val="center"/>
          </w:tcPr>
          <w:p w14:paraId="4D0F2D36" w14:textId="460DEF61" w:rsidR="00AD7492" w:rsidRPr="00AD7492" w:rsidRDefault="00774C01" w:rsidP="00774C01">
            <w:pPr>
              <w:rPr>
                <w:rFonts w:asciiTheme="minorHAnsi" w:hAnsiTheme="minorHAnsi" w:cstheme="minorHAnsi"/>
                <w:bCs/>
                <w:sz w:val="22"/>
                <w:szCs w:val="22"/>
              </w:rPr>
            </w:pPr>
            <w:r w:rsidRPr="00774C01">
              <w:rPr>
                <w:rFonts w:asciiTheme="minorHAnsi" w:hAnsiTheme="minorHAnsi" w:cstheme="minorHAnsi"/>
                <w:bCs/>
                <w:sz w:val="22"/>
                <w:szCs w:val="22"/>
              </w:rPr>
              <w:t xml:space="preserve">W uzasadnieniu projektu (str. 10) określono, że: '”Projekt rozporządzenia nie wywiera wpływu na obszar danych osobowych. W związku z tym, nie przeprowadzono oceny skutków dla ochrony danych osobowych, o której mowa w art. 35 ust. 1 rozporządzenia [...] (RODO).”.Projektodawca stwierdza, że nowelizacja nie wpływa na dane osobowe, co, w opinii MC, stoi w sprzeczności z treścią normatywną projektu. Projekt wprowadza:–nowy przepływ danych (wymianę) z systemem P1 (e-zdrowie) oraz systemem Narodowego Funduszu Zdrowia (moduł NFZ) do celów rozliczeniowych . Zmienia to cel przetwarzania (z ratunkowego na rozliczeniowy) oraz krąg </w:t>
            </w:r>
            <w:r w:rsidRPr="00774C01">
              <w:rPr>
                <w:rFonts w:asciiTheme="minorHAnsi" w:hAnsiTheme="minorHAnsi" w:cstheme="minorHAnsi"/>
                <w:bCs/>
                <w:sz w:val="22"/>
                <w:szCs w:val="22"/>
              </w:rPr>
              <w:lastRenderedPageBreak/>
              <w:t>odbiorców danych;–nowe funkcjonalności monitorowania zdarzeń przez Krajowe Centrum Monitorowania Ratownictwa Medycznego (KCMRM);środowisko szkoleniowe dla studentów.</w:t>
            </w:r>
            <w:r>
              <w:rPr>
                <w:rFonts w:asciiTheme="minorHAnsi" w:hAnsiTheme="minorHAnsi" w:cstheme="minorHAnsi"/>
                <w:bCs/>
                <w:sz w:val="22"/>
                <w:szCs w:val="22"/>
              </w:rPr>
              <w:t xml:space="preserve"> </w:t>
            </w:r>
            <w:r w:rsidRPr="00774C01">
              <w:rPr>
                <w:rFonts w:asciiTheme="minorHAnsi" w:hAnsiTheme="minorHAnsi" w:cstheme="minorHAnsi"/>
                <w:bCs/>
                <w:sz w:val="22"/>
                <w:szCs w:val="22"/>
              </w:rPr>
              <w:t>Każda z tych zmian ingeruje w prywatność pacjentów i personelu. SWD PRM przetwarza dane szczególnej kategorii (o zdrowiu, art. 9 RODO) na dużą skalę. Wprowadzenie automatycznej wymiany danych z NFZ czy P1 jest systemową zmianą w architekturze przetwarzania, która wiąże się z nowymi ryzykami (np. błędne przypisanie danych, wyciek na styku systemów).</w:t>
            </w:r>
          </w:p>
        </w:tc>
        <w:tc>
          <w:tcPr>
            <w:tcW w:w="0" w:type="auto"/>
            <w:vAlign w:val="center"/>
          </w:tcPr>
          <w:p w14:paraId="5A4655C5" w14:textId="1BA4DBBC" w:rsidR="00AD7492" w:rsidRPr="00AD7492" w:rsidRDefault="00774C01" w:rsidP="00774C01">
            <w:pPr>
              <w:rPr>
                <w:rFonts w:asciiTheme="minorHAnsi" w:hAnsiTheme="minorHAnsi" w:cstheme="minorHAnsi"/>
                <w:bCs/>
                <w:sz w:val="22"/>
                <w:szCs w:val="22"/>
              </w:rPr>
            </w:pPr>
            <w:r w:rsidRPr="00774C01">
              <w:rPr>
                <w:rFonts w:asciiTheme="minorHAnsi" w:hAnsiTheme="minorHAnsi" w:cstheme="minorHAnsi"/>
                <w:bCs/>
                <w:sz w:val="22"/>
                <w:szCs w:val="22"/>
              </w:rPr>
              <w:lastRenderedPageBreak/>
              <w:t>Należy usunąć stwierdzenie o braku wpływu i przed rozpatrzeniem przez Stały Komitet Rady Ministrów przeprowadzić (lub zaktualizować) ocenę skutków dla ochrony danych (DPIA), analizując ryzyka związane z nowymi interfejsami wymiany danych oraz poinformować o jej wyniku w uzasadnieniu projektu</w:t>
            </w:r>
            <w:r>
              <w:rPr>
                <w:rFonts w:asciiTheme="minorHAnsi" w:hAnsiTheme="minorHAnsi" w:cstheme="minorHAnsi"/>
                <w:bCs/>
                <w:sz w:val="22"/>
                <w:szCs w:val="22"/>
              </w:rPr>
              <w:t>.</w:t>
            </w:r>
          </w:p>
        </w:tc>
        <w:tc>
          <w:tcPr>
            <w:tcW w:w="0" w:type="auto"/>
            <w:vAlign w:val="center"/>
          </w:tcPr>
          <w:p w14:paraId="575548A5" w14:textId="58A6567F" w:rsidR="00AD7492" w:rsidRPr="00AD7492" w:rsidRDefault="00C735E0" w:rsidP="00AD7492">
            <w:pPr>
              <w:rPr>
                <w:rFonts w:asciiTheme="minorHAnsi" w:hAnsiTheme="minorHAnsi" w:cstheme="minorHAnsi"/>
                <w:bCs/>
                <w:sz w:val="22"/>
                <w:szCs w:val="22"/>
              </w:rPr>
            </w:pPr>
            <w:r>
              <w:rPr>
                <w:rFonts w:asciiTheme="minorHAnsi" w:hAnsiTheme="minorHAnsi" w:cstheme="minorHAnsi"/>
                <w:bCs/>
                <w:sz w:val="22"/>
                <w:szCs w:val="22"/>
              </w:rPr>
              <w:t>Uwaga nieuwzględniona. Rozporządzenie nie wprowadza nowych procesów w zakresie przetwarzania danych osobowych ani nie zmienia ich zakresu. Rozporządzenie sankcjonuje jedynie rozwiązania ustawowe w tym zakresie oraz rozwiązania techniczne,</w:t>
            </w:r>
            <w:r w:rsidR="00790E62">
              <w:rPr>
                <w:rFonts w:asciiTheme="minorHAnsi" w:hAnsiTheme="minorHAnsi" w:cstheme="minorHAnsi"/>
                <w:bCs/>
                <w:sz w:val="22"/>
                <w:szCs w:val="22"/>
              </w:rPr>
              <w:t xml:space="preserve"> </w:t>
            </w:r>
            <w:r>
              <w:rPr>
                <w:rFonts w:asciiTheme="minorHAnsi" w:hAnsiTheme="minorHAnsi" w:cstheme="minorHAnsi"/>
                <w:bCs/>
                <w:sz w:val="22"/>
                <w:szCs w:val="22"/>
              </w:rPr>
              <w:t xml:space="preserve">które do tych wymagań zostały dostosowane (np. wymiana danych pomiędzy SWD PRM a SIM czy systemem informatycznym NFZ). Tym samym </w:t>
            </w:r>
            <w:r w:rsidRPr="00774C01">
              <w:rPr>
                <w:rFonts w:asciiTheme="minorHAnsi" w:hAnsiTheme="minorHAnsi" w:cstheme="minorHAnsi"/>
                <w:bCs/>
                <w:sz w:val="22"/>
                <w:szCs w:val="22"/>
              </w:rPr>
              <w:t>rozporządzeni</w:t>
            </w:r>
            <w:r>
              <w:rPr>
                <w:rFonts w:asciiTheme="minorHAnsi" w:hAnsiTheme="minorHAnsi" w:cstheme="minorHAnsi"/>
                <w:bCs/>
                <w:sz w:val="22"/>
                <w:szCs w:val="22"/>
              </w:rPr>
              <w:t>e</w:t>
            </w:r>
            <w:r w:rsidRPr="00774C01">
              <w:rPr>
                <w:rFonts w:asciiTheme="minorHAnsi" w:hAnsiTheme="minorHAnsi" w:cstheme="minorHAnsi"/>
                <w:bCs/>
                <w:sz w:val="22"/>
                <w:szCs w:val="22"/>
              </w:rPr>
              <w:t xml:space="preserve"> nie </w:t>
            </w:r>
            <w:r>
              <w:rPr>
                <w:rFonts w:asciiTheme="minorHAnsi" w:hAnsiTheme="minorHAnsi" w:cstheme="minorHAnsi"/>
                <w:bCs/>
                <w:sz w:val="22"/>
                <w:szCs w:val="22"/>
              </w:rPr>
              <w:t xml:space="preserve">wywrze </w:t>
            </w:r>
            <w:r w:rsidRPr="00774C01">
              <w:rPr>
                <w:rFonts w:asciiTheme="minorHAnsi" w:hAnsiTheme="minorHAnsi" w:cstheme="minorHAnsi"/>
                <w:bCs/>
                <w:sz w:val="22"/>
                <w:szCs w:val="22"/>
              </w:rPr>
              <w:t>wpływu na obszar danych osobowych</w:t>
            </w:r>
            <w:r w:rsidR="00790E62">
              <w:rPr>
                <w:rFonts w:asciiTheme="minorHAnsi" w:hAnsiTheme="minorHAnsi" w:cstheme="minorHAnsi"/>
                <w:bCs/>
                <w:sz w:val="22"/>
                <w:szCs w:val="22"/>
              </w:rPr>
              <w:t>.</w:t>
            </w:r>
          </w:p>
        </w:tc>
      </w:tr>
      <w:tr w:rsidR="00411523" w:rsidRPr="00411523" w14:paraId="1EAE3B68" w14:textId="77777777" w:rsidTr="008A60E1">
        <w:tc>
          <w:tcPr>
            <w:tcW w:w="0" w:type="auto"/>
          </w:tcPr>
          <w:p w14:paraId="2B867997" w14:textId="41E2C163" w:rsidR="00A06425" w:rsidRPr="00411523" w:rsidRDefault="00756ADE" w:rsidP="00A06425">
            <w:pPr>
              <w:spacing w:before="120" w:after="120"/>
              <w:jc w:val="center"/>
              <w:rPr>
                <w:rFonts w:asciiTheme="minorHAnsi" w:hAnsiTheme="minorHAnsi" w:cstheme="minorHAnsi"/>
                <w:b/>
                <w:sz w:val="22"/>
                <w:szCs w:val="22"/>
              </w:rPr>
            </w:pPr>
            <w:r>
              <w:rPr>
                <w:rFonts w:asciiTheme="minorHAnsi" w:hAnsiTheme="minorHAnsi" w:cstheme="minorHAnsi"/>
                <w:b/>
                <w:sz w:val="22"/>
                <w:szCs w:val="22"/>
              </w:rPr>
              <w:t>5</w:t>
            </w:r>
          </w:p>
        </w:tc>
        <w:tc>
          <w:tcPr>
            <w:tcW w:w="0" w:type="auto"/>
          </w:tcPr>
          <w:p w14:paraId="60F36919" w14:textId="77777777" w:rsidR="00A1026A" w:rsidRPr="00411523" w:rsidRDefault="0032203A" w:rsidP="004D086F">
            <w:pPr>
              <w:spacing w:before="60" w:after="60"/>
              <w:jc w:val="center"/>
              <w:rPr>
                <w:rFonts w:asciiTheme="minorHAnsi" w:hAnsiTheme="minorHAnsi" w:cstheme="minorHAnsi"/>
                <w:b/>
                <w:sz w:val="22"/>
                <w:szCs w:val="22"/>
              </w:rPr>
            </w:pPr>
            <w:r w:rsidRPr="00411523">
              <w:rPr>
                <w:rFonts w:asciiTheme="minorHAnsi" w:hAnsiTheme="minorHAnsi" w:cstheme="minorHAnsi"/>
                <w:b/>
                <w:sz w:val="22"/>
                <w:szCs w:val="22"/>
              </w:rPr>
              <w:t>MSWiA</w:t>
            </w:r>
          </w:p>
          <w:p w14:paraId="7513DCB7" w14:textId="77777777" w:rsidR="00A06425" w:rsidRPr="00411523" w:rsidRDefault="00A06425" w:rsidP="004D086F">
            <w:pPr>
              <w:spacing w:before="60" w:after="60"/>
              <w:jc w:val="center"/>
              <w:rPr>
                <w:rFonts w:asciiTheme="minorHAnsi" w:hAnsiTheme="minorHAnsi" w:cstheme="minorHAnsi"/>
                <w:b/>
                <w:sz w:val="22"/>
                <w:szCs w:val="22"/>
              </w:rPr>
            </w:pPr>
          </w:p>
        </w:tc>
        <w:tc>
          <w:tcPr>
            <w:tcW w:w="0" w:type="auto"/>
          </w:tcPr>
          <w:p w14:paraId="16074342" w14:textId="77777777" w:rsidR="00CB1BD6" w:rsidRPr="00411523" w:rsidRDefault="0032203A" w:rsidP="00CB1BD6">
            <w:pPr>
              <w:jc w:val="center"/>
              <w:rPr>
                <w:rStyle w:val="Ppogrubienie"/>
                <w:rFonts w:asciiTheme="minorHAnsi" w:hAnsiTheme="minorHAnsi" w:cstheme="minorHAnsi"/>
                <w:b w:val="0"/>
                <w:sz w:val="22"/>
                <w:szCs w:val="22"/>
              </w:rPr>
            </w:pPr>
            <w:r w:rsidRPr="00411523">
              <w:rPr>
                <w:rStyle w:val="Ppogrubienie"/>
                <w:rFonts w:asciiTheme="minorHAnsi" w:hAnsiTheme="minorHAnsi" w:cstheme="minorHAnsi"/>
                <w:b w:val="0"/>
                <w:sz w:val="22"/>
                <w:szCs w:val="22"/>
              </w:rPr>
              <w:t>§ 1 pkt 2 lit. a</w:t>
            </w:r>
            <w:r w:rsidR="005F5934" w:rsidRPr="00411523">
              <w:rPr>
                <w:rStyle w:val="Ppogrubienie"/>
                <w:rFonts w:asciiTheme="minorHAnsi" w:hAnsiTheme="minorHAnsi" w:cstheme="minorHAnsi"/>
                <w:b w:val="0"/>
                <w:sz w:val="22"/>
                <w:szCs w:val="22"/>
              </w:rPr>
              <w:t xml:space="preserve"> dotyczący </w:t>
            </w:r>
            <w:r w:rsidR="00CB1BD6" w:rsidRPr="00411523">
              <w:rPr>
                <w:rStyle w:val="Ppogrubienie"/>
                <w:rFonts w:asciiTheme="minorHAnsi" w:hAnsiTheme="minorHAnsi" w:cstheme="minorHAnsi"/>
                <w:b w:val="0"/>
                <w:sz w:val="22"/>
                <w:szCs w:val="22"/>
              </w:rPr>
              <w:t xml:space="preserve">dodawanego w zmienianym rozporządzeniu         w </w:t>
            </w:r>
            <w:r w:rsidR="005F5934" w:rsidRPr="00411523">
              <w:rPr>
                <w:rStyle w:val="Ppogrubienie"/>
                <w:rFonts w:asciiTheme="minorHAnsi" w:hAnsiTheme="minorHAnsi" w:cstheme="minorHAnsi"/>
                <w:b w:val="0"/>
                <w:sz w:val="22"/>
                <w:szCs w:val="22"/>
              </w:rPr>
              <w:t>§ 3 pkt 1a</w:t>
            </w:r>
          </w:p>
          <w:p w14:paraId="2FABE84F" w14:textId="77777777" w:rsidR="00A06425" w:rsidRPr="00411523" w:rsidRDefault="00A06425" w:rsidP="004D086F">
            <w:pPr>
              <w:jc w:val="center"/>
              <w:rPr>
                <w:rFonts w:asciiTheme="minorHAnsi" w:hAnsiTheme="minorHAnsi" w:cstheme="minorHAnsi"/>
                <w:b/>
                <w:sz w:val="22"/>
                <w:szCs w:val="22"/>
              </w:rPr>
            </w:pPr>
          </w:p>
        </w:tc>
        <w:tc>
          <w:tcPr>
            <w:tcW w:w="0" w:type="auto"/>
          </w:tcPr>
          <w:p w14:paraId="0CDC7EEC" w14:textId="1E8E81E2" w:rsidR="0032203A" w:rsidRPr="00411523" w:rsidRDefault="005846DD" w:rsidP="005F5934">
            <w:pPr>
              <w:pStyle w:val="Tekstkomentarza"/>
              <w:spacing w:line="276" w:lineRule="auto"/>
              <w:rPr>
                <w:rFonts w:asciiTheme="minorHAnsi" w:hAnsiTheme="minorHAnsi" w:cstheme="minorHAnsi"/>
                <w:sz w:val="22"/>
                <w:szCs w:val="22"/>
              </w:rPr>
            </w:pPr>
            <w:r w:rsidRPr="00411523">
              <w:rPr>
                <w:rFonts w:asciiTheme="minorHAnsi" w:hAnsiTheme="minorHAnsi" w:cstheme="minorHAnsi"/>
                <w:sz w:val="22"/>
                <w:szCs w:val="22"/>
              </w:rPr>
              <w:t xml:space="preserve">Artykuł 5 ust. 2 rozporządzenia Parlamentu Europejskiego i Rady </w:t>
            </w:r>
            <w:r w:rsidR="0032203A" w:rsidRPr="00411523">
              <w:rPr>
                <w:rFonts w:asciiTheme="minorHAnsi" w:hAnsiTheme="minorHAnsi" w:cstheme="minorHAnsi"/>
                <w:sz w:val="22"/>
                <w:szCs w:val="22"/>
              </w:rPr>
              <w:t>(UE) 2015/758</w:t>
            </w:r>
            <w:r w:rsidR="002F4AC6" w:rsidRPr="00411523">
              <w:rPr>
                <w:rFonts w:asciiTheme="minorHAnsi" w:hAnsiTheme="minorHAnsi" w:cstheme="minorHAnsi"/>
                <w:sz w:val="22"/>
                <w:szCs w:val="22"/>
              </w:rPr>
              <w:t xml:space="preserve"> </w:t>
            </w:r>
            <w:r w:rsidR="0032203A" w:rsidRPr="00411523">
              <w:rPr>
                <w:rFonts w:asciiTheme="minorHAnsi" w:hAnsiTheme="minorHAnsi" w:cstheme="minorHAnsi"/>
                <w:sz w:val="22"/>
                <w:szCs w:val="22"/>
              </w:rPr>
              <w:t>z dnia 29 kwietnia 2015 r.</w:t>
            </w:r>
            <w:r w:rsidR="002F4AC6" w:rsidRPr="00411523">
              <w:rPr>
                <w:rFonts w:asciiTheme="minorHAnsi" w:hAnsiTheme="minorHAnsi" w:cstheme="minorHAnsi"/>
                <w:sz w:val="22"/>
                <w:szCs w:val="22"/>
              </w:rPr>
              <w:t xml:space="preserve"> </w:t>
            </w:r>
            <w:r w:rsidR="0032203A" w:rsidRPr="00411523">
              <w:rPr>
                <w:rFonts w:asciiTheme="minorHAnsi" w:hAnsiTheme="minorHAnsi" w:cstheme="minorHAnsi"/>
                <w:i/>
                <w:sz w:val="22"/>
                <w:szCs w:val="22"/>
              </w:rPr>
              <w:t>w sprawie wymagań dotyczących homologacji typu na potrzeby wdrożenia systemu pokładowego eCall opartego na numerze alarmowym 112 oraz zmiany dyrektywy 2007/46/WE</w:t>
            </w:r>
            <w:r w:rsidR="0036183B" w:rsidRPr="00411523">
              <w:rPr>
                <w:rFonts w:asciiTheme="minorHAnsi" w:hAnsiTheme="minorHAnsi" w:cstheme="minorHAnsi"/>
                <w:i/>
                <w:sz w:val="22"/>
                <w:szCs w:val="22"/>
              </w:rPr>
              <w:t xml:space="preserve"> </w:t>
            </w:r>
            <w:r w:rsidR="002F4AC6" w:rsidRPr="00411523">
              <w:rPr>
                <w:rFonts w:asciiTheme="minorHAnsi" w:hAnsiTheme="minorHAnsi" w:cstheme="minorHAnsi"/>
                <w:sz w:val="22"/>
                <w:szCs w:val="22"/>
              </w:rPr>
              <w:t xml:space="preserve"> </w:t>
            </w:r>
            <w:r w:rsidR="0036183B" w:rsidRPr="00411523">
              <w:rPr>
                <w:rFonts w:asciiTheme="minorHAnsi" w:hAnsiTheme="minorHAnsi" w:cstheme="minorHAnsi"/>
                <w:sz w:val="22"/>
                <w:szCs w:val="22"/>
              </w:rPr>
              <w:t xml:space="preserve">(Dz.U.UE.L.2015.123.77) </w:t>
            </w:r>
            <w:r w:rsidR="0032203A" w:rsidRPr="00411523">
              <w:rPr>
                <w:rFonts w:asciiTheme="minorHAnsi" w:hAnsiTheme="minorHAnsi" w:cstheme="minorHAnsi"/>
                <w:sz w:val="22"/>
                <w:szCs w:val="22"/>
              </w:rPr>
              <w:t>mówi o tym, że zgłoszenia eCall muszą być kierowane pod jednolity europejski numer alarmowy 112, a więc tym samym nie mo</w:t>
            </w:r>
            <w:r w:rsidR="0081402D" w:rsidRPr="00411523">
              <w:rPr>
                <w:rFonts w:asciiTheme="minorHAnsi" w:hAnsiTheme="minorHAnsi" w:cstheme="minorHAnsi"/>
                <w:sz w:val="22"/>
                <w:szCs w:val="22"/>
              </w:rPr>
              <w:t>gą</w:t>
            </w:r>
            <w:r w:rsidR="0032203A" w:rsidRPr="00411523">
              <w:rPr>
                <w:rFonts w:asciiTheme="minorHAnsi" w:hAnsiTheme="minorHAnsi" w:cstheme="minorHAnsi"/>
                <w:sz w:val="22"/>
                <w:szCs w:val="22"/>
              </w:rPr>
              <w:t xml:space="preserve"> być bezpośrednio obsługiwane przez SWD PRM. </w:t>
            </w:r>
          </w:p>
          <w:p w14:paraId="01FDD351" w14:textId="77777777" w:rsidR="007B5708" w:rsidRPr="00411523" w:rsidRDefault="002F4AC6" w:rsidP="005F5934">
            <w:pPr>
              <w:pStyle w:val="Tekstkomentarza"/>
              <w:spacing w:line="276" w:lineRule="auto"/>
              <w:rPr>
                <w:rFonts w:asciiTheme="minorHAnsi" w:hAnsiTheme="minorHAnsi" w:cstheme="minorHAnsi"/>
                <w:sz w:val="22"/>
                <w:szCs w:val="22"/>
              </w:rPr>
            </w:pPr>
            <w:r w:rsidRPr="00411523">
              <w:rPr>
                <w:rFonts w:asciiTheme="minorHAnsi" w:hAnsiTheme="minorHAnsi" w:cstheme="minorHAnsi"/>
                <w:sz w:val="22"/>
                <w:szCs w:val="22"/>
              </w:rPr>
              <w:t>Analogicznie z</w:t>
            </w:r>
            <w:r w:rsidR="0032203A" w:rsidRPr="00411523">
              <w:rPr>
                <w:rFonts w:asciiTheme="minorHAnsi" w:hAnsiTheme="minorHAnsi" w:cstheme="minorHAnsi"/>
                <w:sz w:val="22"/>
                <w:szCs w:val="22"/>
              </w:rPr>
              <w:t>godnie z art. 20 ust. 1 pkt 2 lit. b usta</w:t>
            </w:r>
            <w:r w:rsidR="005F5934" w:rsidRPr="00411523">
              <w:rPr>
                <w:rFonts w:asciiTheme="minorHAnsi" w:hAnsiTheme="minorHAnsi" w:cstheme="minorHAnsi"/>
                <w:sz w:val="22"/>
                <w:szCs w:val="22"/>
              </w:rPr>
              <w:t xml:space="preserve">wy z dnia 22 listopada 2013 r. </w:t>
            </w:r>
            <w:r w:rsidR="0032203A" w:rsidRPr="00411523">
              <w:rPr>
                <w:rFonts w:asciiTheme="minorHAnsi" w:hAnsiTheme="minorHAnsi" w:cstheme="minorHAnsi"/>
                <w:i/>
                <w:sz w:val="22"/>
                <w:szCs w:val="22"/>
              </w:rPr>
              <w:t>o systemie powiadamiania ratunkowego</w:t>
            </w:r>
            <w:r w:rsidR="005F5934" w:rsidRPr="00411523">
              <w:rPr>
                <w:rFonts w:asciiTheme="minorHAnsi" w:hAnsiTheme="minorHAnsi" w:cstheme="minorHAnsi"/>
                <w:sz w:val="22"/>
                <w:szCs w:val="22"/>
              </w:rPr>
              <w:t xml:space="preserve"> (Dz. U. z 2025</w:t>
            </w:r>
            <w:r w:rsidR="002279AE" w:rsidRPr="00411523">
              <w:rPr>
                <w:rFonts w:asciiTheme="minorHAnsi" w:hAnsiTheme="minorHAnsi" w:cstheme="minorHAnsi"/>
                <w:sz w:val="22"/>
                <w:szCs w:val="22"/>
              </w:rPr>
              <w:t xml:space="preserve"> r. poz. 1354</w:t>
            </w:r>
            <w:r w:rsidR="005F5934" w:rsidRPr="00411523">
              <w:rPr>
                <w:rFonts w:asciiTheme="minorHAnsi" w:hAnsiTheme="minorHAnsi" w:cstheme="minorHAnsi"/>
                <w:sz w:val="22"/>
                <w:szCs w:val="22"/>
              </w:rPr>
              <w:t xml:space="preserve">) </w:t>
            </w:r>
            <w:r w:rsidR="0032203A" w:rsidRPr="00411523">
              <w:rPr>
                <w:rFonts w:asciiTheme="minorHAnsi" w:hAnsiTheme="minorHAnsi" w:cstheme="minorHAnsi"/>
                <w:sz w:val="22"/>
                <w:szCs w:val="22"/>
              </w:rPr>
              <w:t xml:space="preserve"> </w:t>
            </w:r>
            <w:r w:rsidRPr="00411523">
              <w:rPr>
                <w:rFonts w:asciiTheme="minorHAnsi" w:hAnsiTheme="minorHAnsi" w:cstheme="minorHAnsi"/>
                <w:sz w:val="22"/>
                <w:szCs w:val="22"/>
              </w:rPr>
              <w:t xml:space="preserve">nakłada się na dostawcę publicznie dostępnych usług komunikacji interpersonalnej obowiązek bezpłatnego kierowania krótkich wiadomości tekstowych użytkownikom </w:t>
            </w:r>
            <w:r w:rsidRPr="00411523">
              <w:rPr>
                <w:rFonts w:asciiTheme="minorHAnsi" w:hAnsiTheme="minorHAnsi" w:cstheme="minorHAnsi"/>
                <w:sz w:val="22"/>
                <w:szCs w:val="22"/>
              </w:rPr>
              <w:lastRenderedPageBreak/>
              <w:t>końcowym  do numeru alarmowego 112.</w:t>
            </w:r>
            <w:r w:rsidR="000430C9" w:rsidRPr="00411523">
              <w:rPr>
                <w:rFonts w:asciiTheme="minorHAnsi" w:hAnsiTheme="minorHAnsi" w:cstheme="minorHAnsi"/>
                <w:sz w:val="22"/>
                <w:szCs w:val="22"/>
              </w:rPr>
              <w:t xml:space="preserve"> </w:t>
            </w:r>
            <w:r w:rsidR="007B5708" w:rsidRPr="00411523">
              <w:rPr>
                <w:rFonts w:asciiTheme="minorHAnsi" w:hAnsiTheme="minorHAnsi" w:cstheme="minorHAnsi"/>
                <w:sz w:val="22"/>
                <w:szCs w:val="22"/>
              </w:rPr>
              <w:t>Mimo braku</w:t>
            </w:r>
            <w:r w:rsidRPr="00411523">
              <w:rPr>
                <w:rFonts w:asciiTheme="minorHAnsi" w:hAnsiTheme="minorHAnsi" w:cstheme="minorHAnsi"/>
                <w:sz w:val="22"/>
                <w:szCs w:val="22"/>
              </w:rPr>
              <w:t xml:space="preserve"> podstaw prawnych do kierowania tych połączeń do innyc</w:t>
            </w:r>
            <w:r w:rsidR="007B5708" w:rsidRPr="00411523">
              <w:rPr>
                <w:rFonts w:asciiTheme="minorHAnsi" w:hAnsiTheme="minorHAnsi" w:cstheme="minorHAnsi"/>
                <w:sz w:val="22"/>
                <w:szCs w:val="22"/>
              </w:rPr>
              <w:t xml:space="preserve">h numerów alarmowych, w tym 999, w projektowany przepis zdaje się przypisywać taką możliwość </w:t>
            </w:r>
            <w:r w:rsidR="005846DD" w:rsidRPr="00411523">
              <w:rPr>
                <w:rFonts w:asciiTheme="minorHAnsi" w:hAnsiTheme="minorHAnsi" w:cstheme="minorHAnsi"/>
                <w:sz w:val="22"/>
                <w:szCs w:val="22"/>
              </w:rPr>
              <w:t>Podsystemowi Zintegrowanej Łączności</w:t>
            </w:r>
            <w:r w:rsidR="007B5708" w:rsidRPr="00411523">
              <w:rPr>
                <w:rFonts w:asciiTheme="minorHAnsi" w:hAnsiTheme="minorHAnsi" w:cstheme="minorHAnsi"/>
                <w:sz w:val="22"/>
                <w:szCs w:val="22"/>
              </w:rPr>
              <w:t xml:space="preserve"> SWD PRM. Należy podkreślić, że zarówno w przypadku bezgłosowych zgłoszeń typu eCall, jak i bezgłosowych zgłoszeń typu SMS, do dyspozytora medycznego trafia z CPR elektroniczny formularz zgłoszenia z centrum powiadamiania ratunkowego. Formularz ten jest przesyłany do systemu teleinformatycznego, o którym mowa w art. 3 pkt 15 lit. a ustawy o </w:t>
            </w:r>
            <w:r w:rsidR="007B5708" w:rsidRPr="00411523">
              <w:rPr>
                <w:rFonts w:asciiTheme="minorHAnsi" w:hAnsiTheme="minorHAnsi" w:cstheme="minorHAnsi"/>
                <w:i/>
                <w:sz w:val="22"/>
                <w:szCs w:val="22"/>
              </w:rPr>
              <w:t>Państwowym Ratownictwie Medycznym</w:t>
            </w:r>
            <w:r w:rsidR="007B5708" w:rsidRPr="00411523">
              <w:rPr>
                <w:rFonts w:asciiTheme="minorHAnsi" w:hAnsiTheme="minorHAnsi" w:cstheme="minorHAnsi"/>
                <w:sz w:val="22"/>
                <w:szCs w:val="22"/>
              </w:rPr>
              <w:t>. Oznacza to, że do obsługi tego typu zgłoszeń nie jest angażowany PZŁ SWD PRM.</w:t>
            </w:r>
          </w:p>
          <w:p w14:paraId="01A08B05" w14:textId="77777777" w:rsidR="00A06425" w:rsidRPr="00411523" w:rsidRDefault="00A06425" w:rsidP="004D086F">
            <w:pPr>
              <w:jc w:val="center"/>
              <w:rPr>
                <w:rFonts w:asciiTheme="minorHAnsi" w:hAnsiTheme="minorHAnsi" w:cstheme="minorHAnsi"/>
                <w:sz w:val="22"/>
                <w:szCs w:val="22"/>
              </w:rPr>
            </w:pPr>
          </w:p>
        </w:tc>
        <w:tc>
          <w:tcPr>
            <w:tcW w:w="0" w:type="auto"/>
          </w:tcPr>
          <w:p w14:paraId="0701E1F7" w14:textId="77777777" w:rsidR="00A06425" w:rsidRPr="00411523" w:rsidRDefault="005846DD" w:rsidP="005846DD">
            <w:pPr>
              <w:rPr>
                <w:rFonts w:asciiTheme="minorHAnsi" w:hAnsiTheme="minorHAnsi" w:cstheme="minorHAnsi"/>
                <w:sz w:val="22"/>
                <w:szCs w:val="22"/>
              </w:rPr>
            </w:pPr>
            <w:r w:rsidRPr="00411523">
              <w:rPr>
                <w:rFonts w:asciiTheme="minorHAnsi" w:hAnsiTheme="minorHAnsi" w:cstheme="minorHAnsi"/>
                <w:sz w:val="22"/>
                <w:szCs w:val="22"/>
              </w:rPr>
              <w:lastRenderedPageBreak/>
              <w:t>Wykreślenie projektowanego przepisu</w:t>
            </w:r>
            <w:r w:rsidR="002F4AC6" w:rsidRPr="00411523">
              <w:rPr>
                <w:rFonts w:asciiTheme="minorHAnsi" w:hAnsiTheme="minorHAnsi" w:cstheme="minorHAnsi"/>
                <w:sz w:val="22"/>
                <w:szCs w:val="22"/>
              </w:rPr>
              <w:t xml:space="preserve">. </w:t>
            </w:r>
          </w:p>
        </w:tc>
        <w:tc>
          <w:tcPr>
            <w:tcW w:w="0" w:type="auto"/>
          </w:tcPr>
          <w:p w14:paraId="6E466C1B" w14:textId="2E460CDE" w:rsidR="00A06425" w:rsidRPr="00411523" w:rsidRDefault="00C735E0" w:rsidP="00790E62">
            <w:pPr>
              <w:rPr>
                <w:rFonts w:asciiTheme="minorHAnsi" w:hAnsiTheme="minorHAnsi" w:cstheme="minorHAnsi"/>
                <w:sz w:val="22"/>
                <w:szCs w:val="22"/>
              </w:rPr>
            </w:pPr>
            <w:r>
              <w:rPr>
                <w:rFonts w:asciiTheme="minorHAnsi" w:hAnsiTheme="minorHAnsi" w:cstheme="minorHAnsi"/>
                <w:sz w:val="22"/>
                <w:szCs w:val="22"/>
              </w:rPr>
              <w:t xml:space="preserve">Uwaga uwzględniona </w:t>
            </w:r>
            <w:r w:rsidR="00790E62">
              <w:rPr>
                <w:rFonts w:asciiTheme="minorHAnsi" w:hAnsiTheme="minorHAnsi" w:cstheme="minorHAnsi"/>
                <w:sz w:val="22"/>
                <w:szCs w:val="22"/>
              </w:rPr>
              <w:t>p</w:t>
            </w:r>
            <w:r>
              <w:rPr>
                <w:rFonts w:asciiTheme="minorHAnsi" w:hAnsiTheme="minorHAnsi" w:cstheme="minorHAnsi"/>
                <w:sz w:val="22"/>
                <w:szCs w:val="22"/>
              </w:rPr>
              <w:t xml:space="preserve">oprzez nadanie przepisowi następującego brzmienia: </w:t>
            </w:r>
            <w:r w:rsidR="00790E62">
              <w:rPr>
                <w:rFonts w:asciiTheme="minorHAnsi" w:hAnsiTheme="minorHAnsi" w:cstheme="minorHAnsi"/>
                <w:sz w:val="22"/>
                <w:szCs w:val="22"/>
              </w:rPr>
              <w:t>„</w:t>
            </w:r>
            <w:r w:rsidR="00790E62" w:rsidRPr="00790E62">
              <w:rPr>
                <w:rFonts w:asciiTheme="minorHAnsi" w:hAnsiTheme="minorHAnsi" w:cstheme="minorHAnsi"/>
                <w:sz w:val="22"/>
                <w:szCs w:val="22"/>
              </w:rPr>
              <w:t xml:space="preserve">1a) obsługę zgłoszeń telefonicznych oraz zgłoszeń bezgłosowych, w tym pochodzących z urządzeń eCall oraz przesyłanych w formacie SMS, </w:t>
            </w:r>
            <w:r w:rsidRPr="00C735E0">
              <w:rPr>
                <w:rFonts w:asciiTheme="minorHAnsi" w:hAnsiTheme="minorHAnsi" w:cstheme="minorHAnsi"/>
                <w:sz w:val="22"/>
                <w:szCs w:val="22"/>
              </w:rPr>
              <w:t>przekazywanych z centrów powiadamiania ratunkowego w postaci elektronicznego formularza zgłoszenia do systemu teleinformatycznego, o którym mowa w art. 3 pkt 15 lit. a ustawy, oraz rejestrację i archiwizację zapisów rozmów głosowych i połączeń bezgłosowych;</w:t>
            </w:r>
            <w:r>
              <w:rPr>
                <w:rFonts w:asciiTheme="minorHAnsi" w:hAnsiTheme="minorHAnsi" w:cstheme="minorHAnsi"/>
                <w:sz w:val="22"/>
                <w:szCs w:val="22"/>
              </w:rPr>
              <w:t>”.</w:t>
            </w:r>
          </w:p>
        </w:tc>
      </w:tr>
      <w:tr w:rsidR="00DE1A1A" w:rsidRPr="00411523" w14:paraId="216539BC" w14:textId="77777777" w:rsidTr="008A60E1">
        <w:tc>
          <w:tcPr>
            <w:tcW w:w="0" w:type="auto"/>
          </w:tcPr>
          <w:p w14:paraId="7DA34FEC" w14:textId="33AC41A5" w:rsidR="00DE1A1A" w:rsidRPr="00411523" w:rsidRDefault="00756ADE" w:rsidP="00A06425">
            <w:pPr>
              <w:spacing w:before="120" w:after="120"/>
              <w:jc w:val="center"/>
              <w:rPr>
                <w:rFonts w:asciiTheme="minorHAnsi" w:hAnsiTheme="minorHAnsi" w:cstheme="minorHAnsi"/>
                <w:b/>
                <w:sz w:val="22"/>
                <w:szCs w:val="22"/>
              </w:rPr>
            </w:pPr>
            <w:r>
              <w:rPr>
                <w:rFonts w:asciiTheme="minorHAnsi" w:hAnsiTheme="minorHAnsi" w:cstheme="minorHAnsi"/>
                <w:b/>
                <w:sz w:val="22"/>
                <w:szCs w:val="22"/>
              </w:rPr>
              <w:t>6</w:t>
            </w:r>
          </w:p>
        </w:tc>
        <w:tc>
          <w:tcPr>
            <w:tcW w:w="0" w:type="auto"/>
          </w:tcPr>
          <w:p w14:paraId="7D3E04F2" w14:textId="2D0F969A" w:rsidR="00DE1A1A" w:rsidRPr="00411523" w:rsidRDefault="00DE1A1A"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UODO</w:t>
            </w:r>
          </w:p>
        </w:tc>
        <w:tc>
          <w:tcPr>
            <w:tcW w:w="0" w:type="auto"/>
          </w:tcPr>
          <w:p w14:paraId="4F50ADA0" w14:textId="62F7C041" w:rsidR="00DE1A1A" w:rsidRPr="00411523" w:rsidRDefault="00DE1A1A" w:rsidP="00CB1BD6">
            <w:pPr>
              <w:jc w:val="center"/>
              <w:rPr>
                <w:rStyle w:val="Ppogrubienie"/>
                <w:rFonts w:asciiTheme="minorHAnsi" w:hAnsiTheme="minorHAnsi" w:cstheme="minorHAnsi"/>
                <w:b w:val="0"/>
                <w:sz w:val="22"/>
                <w:szCs w:val="22"/>
              </w:rPr>
            </w:pPr>
            <w:r w:rsidRPr="00DE1A1A">
              <w:rPr>
                <w:rStyle w:val="Ppogrubienie"/>
                <w:rFonts w:asciiTheme="minorHAnsi" w:hAnsiTheme="minorHAnsi" w:cstheme="minorHAnsi"/>
                <w:b w:val="0"/>
                <w:sz w:val="22"/>
                <w:szCs w:val="22"/>
              </w:rPr>
              <w:t>§ 3 pkt 4a</w:t>
            </w:r>
          </w:p>
        </w:tc>
        <w:tc>
          <w:tcPr>
            <w:tcW w:w="0" w:type="auto"/>
          </w:tcPr>
          <w:p w14:paraId="2826FA71" w14:textId="5FA4B086" w:rsidR="00DE1A1A" w:rsidRPr="00DE1A1A" w:rsidRDefault="00DE1A1A" w:rsidP="00DE1A1A">
            <w:pPr>
              <w:pStyle w:val="Tekstkomentarza"/>
              <w:spacing w:line="276" w:lineRule="auto"/>
              <w:rPr>
                <w:rFonts w:asciiTheme="minorHAnsi" w:hAnsiTheme="minorHAnsi" w:cstheme="minorHAnsi"/>
                <w:sz w:val="22"/>
                <w:szCs w:val="22"/>
              </w:rPr>
            </w:pPr>
            <w:r w:rsidRPr="00DE1A1A">
              <w:rPr>
                <w:rFonts w:asciiTheme="minorHAnsi" w:hAnsiTheme="minorHAnsi" w:cstheme="minorHAnsi"/>
                <w:sz w:val="22"/>
                <w:szCs w:val="22"/>
              </w:rPr>
              <w:t>System</w:t>
            </w:r>
            <w:r>
              <w:rPr>
                <w:rFonts w:asciiTheme="minorHAnsi" w:hAnsiTheme="minorHAnsi" w:cstheme="minorHAnsi"/>
                <w:sz w:val="22"/>
                <w:szCs w:val="22"/>
              </w:rPr>
              <w:t xml:space="preserve"> </w:t>
            </w:r>
            <w:r w:rsidRPr="00DE1A1A">
              <w:rPr>
                <w:rFonts w:asciiTheme="minorHAnsi" w:hAnsiTheme="minorHAnsi" w:cstheme="minorHAnsi"/>
                <w:sz w:val="22"/>
                <w:szCs w:val="22"/>
              </w:rPr>
              <w:t>Wspomagania Dowodzenia Państwowego Ratownictwa Medycznego (zwany dalej:</w:t>
            </w:r>
            <w:r>
              <w:rPr>
                <w:rFonts w:asciiTheme="minorHAnsi" w:hAnsiTheme="minorHAnsi" w:cstheme="minorHAnsi"/>
                <w:sz w:val="22"/>
                <w:szCs w:val="22"/>
              </w:rPr>
              <w:t xml:space="preserve"> </w:t>
            </w:r>
            <w:r w:rsidRPr="00DE1A1A">
              <w:rPr>
                <w:rFonts w:asciiTheme="minorHAnsi" w:hAnsiTheme="minorHAnsi" w:cstheme="minorHAnsi"/>
                <w:sz w:val="22"/>
                <w:szCs w:val="22"/>
              </w:rPr>
              <w:t>SWD PRM) w ramach minimalnych funkcjonalności zapewnia „wymianę danych z</w:t>
            </w:r>
            <w:r>
              <w:rPr>
                <w:rFonts w:asciiTheme="minorHAnsi" w:hAnsiTheme="minorHAnsi" w:cstheme="minorHAnsi"/>
                <w:sz w:val="22"/>
                <w:szCs w:val="22"/>
              </w:rPr>
              <w:t xml:space="preserve"> </w:t>
            </w:r>
            <w:r w:rsidRPr="00DE1A1A">
              <w:rPr>
                <w:rFonts w:asciiTheme="minorHAnsi" w:hAnsiTheme="minorHAnsi" w:cstheme="minorHAnsi"/>
                <w:sz w:val="22"/>
                <w:szCs w:val="22"/>
              </w:rPr>
              <w:t>systemem: a) informacji w ochronie zdrowia, o którym mowa w art. 5 ust. 1 ustawie z</w:t>
            </w:r>
            <w:r>
              <w:rPr>
                <w:rFonts w:asciiTheme="minorHAnsi" w:hAnsiTheme="minorHAnsi" w:cstheme="minorHAnsi"/>
                <w:sz w:val="22"/>
                <w:szCs w:val="22"/>
              </w:rPr>
              <w:t xml:space="preserve"> </w:t>
            </w:r>
            <w:r w:rsidRPr="00DE1A1A">
              <w:rPr>
                <w:rFonts w:asciiTheme="minorHAnsi" w:hAnsiTheme="minorHAnsi" w:cstheme="minorHAnsi"/>
                <w:sz w:val="22"/>
                <w:szCs w:val="22"/>
              </w:rPr>
              <w:t>dnia 28 kwietnia 2011 r. o systemie informacji w ochronie zdrowia”.</w:t>
            </w:r>
            <w:r>
              <w:rPr>
                <w:rFonts w:asciiTheme="minorHAnsi" w:hAnsiTheme="minorHAnsi" w:cstheme="minorHAnsi"/>
                <w:sz w:val="22"/>
                <w:szCs w:val="22"/>
              </w:rPr>
              <w:t xml:space="preserve"> </w:t>
            </w:r>
            <w:r w:rsidRPr="00DE1A1A">
              <w:rPr>
                <w:rFonts w:asciiTheme="minorHAnsi" w:hAnsiTheme="minorHAnsi" w:cstheme="minorHAnsi"/>
                <w:sz w:val="22"/>
                <w:szCs w:val="22"/>
              </w:rPr>
              <w:t>Przepisy ustawy o Państwowym Ratownictwie Medycznym, w tym art. 24e</w:t>
            </w:r>
            <w:r>
              <w:rPr>
                <w:rFonts w:asciiTheme="minorHAnsi" w:hAnsiTheme="minorHAnsi" w:cstheme="minorHAnsi"/>
                <w:sz w:val="22"/>
                <w:szCs w:val="22"/>
              </w:rPr>
              <w:t xml:space="preserve"> </w:t>
            </w:r>
            <w:r w:rsidRPr="00DE1A1A">
              <w:rPr>
                <w:rFonts w:asciiTheme="minorHAnsi" w:hAnsiTheme="minorHAnsi" w:cstheme="minorHAnsi"/>
                <w:sz w:val="22"/>
                <w:szCs w:val="22"/>
              </w:rPr>
              <w:t>ust. 2 ustawy wskazują zaś na: przetwarzanie danych usługobiorców (pkt 1)</w:t>
            </w:r>
            <w:r>
              <w:rPr>
                <w:rFonts w:asciiTheme="minorHAnsi" w:hAnsiTheme="minorHAnsi" w:cstheme="minorHAnsi"/>
                <w:sz w:val="22"/>
                <w:szCs w:val="22"/>
              </w:rPr>
              <w:t xml:space="preserve"> </w:t>
            </w:r>
            <w:r w:rsidRPr="00DE1A1A">
              <w:rPr>
                <w:rFonts w:asciiTheme="minorHAnsi" w:hAnsiTheme="minorHAnsi" w:cstheme="minorHAnsi"/>
                <w:sz w:val="22"/>
                <w:szCs w:val="22"/>
              </w:rPr>
              <w:t xml:space="preserve">wymianę dokumentów elektronicznych </w:t>
            </w:r>
            <w:r w:rsidRPr="00DE1A1A">
              <w:rPr>
                <w:rFonts w:asciiTheme="minorHAnsi" w:hAnsiTheme="minorHAnsi" w:cstheme="minorHAnsi"/>
                <w:sz w:val="22"/>
                <w:szCs w:val="22"/>
              </w:rPr>
              <w:lastRenderedPageBreak/>
              <w:t>(pkt 8), przekazywanie danych osobowych z</w:t>
            </w:r>
            <w:r>
              <w:rPr>
                <w:rFonts w:asciiTheme="minorHAnsi" w:hAnsiTheme="minorHAnsi" w:cstheme="minorHAnsi"/>
                <w:sz w:val="22"/>
                <w:szCs w:val="22"/>
              </w:rPr>
              <w:t xml:space="preserve"> </w:t>
            </w:r>
            <w:r w:rsidRPr="00DE1A1A">
              <w:rPr>
                <w:rFonts w:asciiTheme="minorHAnsi" w:hAnsiTheme="minorHAnsi" w:cstheme="minorHAnsi"/>
                <w:sz w:val="22"/>
                <w:szCs w:val="22"/>
              </w:rPr>
              <w:t>systemu SWD PRM do systemu informacji w ochronie zdrowia (ust. 2), nie odnoszą</w:t>
            </w:r>
            <w:r>
              <w:rPr>
                <w:rFonts w:asciiTheme="minorHAnsi" w:hAnsiTheme="minorHAnsi" w:cstheme="minorHAnsi"/>
                <w:sz w:val="22"/>
                <w:szCs w:val="22"/>
              </w:rPr>
              <w:t xml:space="preserve"> </w:t>
            </w:r>
            <w:r w:rsidRPr="00DE1A1A">
              <w:rPr>
                <w:rFonts w:asciiTheme="minorHAnsi" w:hAnsiTheme="minorHAnsi" w:cstheme="minorHAnsi"/>
                <w:sz w:val="22"/>
                <w:szCs w:val="22"/>
              </w:rPr>
              <w:t>się zaś do sposobu pozyskiwania danych (zaciągania tych danych) z systemu</w:t>
            </w:r>
            <w:r>
              <w:rPr>
                <w:rFonts w:asciiTheme="minorHAnsi" w:hAnsiTheme="minorHAnsi" w:cstheme="minorHAnsi"/>
                <w:sz w:val="22"/>
                <w:szCs w:val="22"/>
              </w:rPr>
              <w:t xml:space="preserve"> </w:t>
            </w:r>
            <w:r w:rsidRPr="00DE1A1A">
              <w:rPr>
                <w:rFonts w:asciiTheme="minorHAnsi" w:hAnsiTheme="minorHAnsi" w:cstheme="minorHAnsi"/>
                <w:sz w:val="22"/>
                <w:szCs w:val="22"/>
              </w:rPr>
              <w:t>informacji w ochronie zdrowia do systemu SWD PRM.</w:t>
            </w:r>
            <w:r>
              <w:rPr>
                <w:rFonts w:asciiTheme="minorHAnsi" w:hAnsiTheme="minorHAnsi" w:cstheme="minorHAnsi"/>
                <w:sz w:val="22"/>
                <w:szCs w:val="22"/>
              </w:rPr>
              <w:t xml:space="preserve"> </w:t>
            </w:r>
            <w:r w:rsidRPr="00DE1A1A">
              <w:rPr>
                <w:rFonts w:asciiTheme="minorHAnsi" w:hAnsiTheme="minorHAnsi" w:cstheme="minorHAnsi"/>
                <w:sz w:val="22"/>
                <w:szCs w:val="22"/>
              </w:rPr>
              <w:t>Projektodawca nie wyjaśnia i nie określa na czym ma polegać „wymiana”</w:t>
            </w:r>
            <w:r>
              <w:rPr>
                <w:rFonts w:asciiTheme="minorHAnsi" w:hAnsiTheme="minorHAnsi" w:cstheme="minorHAnsi"/>
                <w:sz w:val="22"/>
                <w:szCs w:val="22"/>
              </w:rPr>
              <w:t xml:space="preserve"> </w:t>
            </w:r>
            <w:r w:rsidRPr="00DE1A1A">
              <w:rPr>
                <w:rFonts w:asciiTheme="minorHAnsi" w:hAnsiTheme="minorHAnsi" w:cstheme="minorHAnsi"/>
                <w:sz w:val="22"/>
                <w:szCs w:val="22"/>
              </w:rPr>
              <w:t>danych, a przez to nie jest przejrzyste i jednoznaczne, czy wymiana informacji będzie</w:t>
            </w:r>
            <w:r>
              <w:rPr>
                <w:rFonts w:asciiTheme="minorHAnsi" w:hAnsiTheme="minorHAnsi" w:cstheme="minorHAnsi"/>
                <w:sz w:val="22"/>
                <w:szCs w:val="22"/>
              </w:rPr>
              <w:t xml:space="preserve"> </w:t>
            </w:r>
            <w:r w:rsidRPr="00DE1A1A">
              <w:rPr>
                <w:rFonts w:asciiTheme="minorHAnsi" w:hAnsiTheme="minorHAnsi" w:cstheme="minorHAnsi"/>
                <w:sz w:val="22"/>
                <w:szCs w:val="22"/>
              </w:rPr>
              <w:t>wiązała się z dostępem do danych zawartych w systemie informacji w ochronie</w:t>
            </w:r>
            <w:r>
              <w:rPr>
                <w:rFonts w:asciiTheme="minorHAnsi" w:hAnsiTheme="minorHAnsi" w:cstheme="minorHAnsi"/>
                <w:sz w:val="22"/>
                <w:szCs w:val="22"/>
              </w:rPr>
              <w:t xml:space="preserve"> </w:t>
            </w:r>
            <w:r w:rsidRPr="00DE1A1A">
              <w:rPr>
                <w:rFonts w:asciiTheme="minorHAnsi" w:hAnsiTheme="minorHAnsi" w:cstheme="minorHAnsi"/>
                <w:sz w:val="22"/>
                <w:szCs w:val="22"/>
              </w:rPr>
              <w:t>zdrowia, o którym mowa w art. 5 ust. 1 ustawy o systemie informacji w ochronie</w:t>
            </w:r>
            <w:r>
              <w:rPr>
                <w:rFonts w:asciiTheme="minorHAnsi" w:hAnsiTheme="minorHAnsi" w:cstheme="minorHAnsi"/>
                <w:sz w:val="22"/>
                <w:szCs w:val="22"/>
              </w:rPr>
              <w:t xml:space="preserve"> </w:t>
            </w:r>
            <w:r w:rsidRPr="00DE1A1A">
              <w:rPr>
                <w:rFonts w:asciiTheme="minorHAnsi" w:hAnsiTheme="minorHAnsi" w:cstheme="minorHAnsi"/>
                <w:sz w:val="22"/>
                <w:szCs w:val="22"/>
              </w:rPr>
              <w:t>zdrowia, obejmującym bazy danych funkcjonujące w ramach: 1) SIM; 2)dziedzinowych systemów teleinformatycznych6 3) rejestrów medycznych. Wiąże się</w:t>
            </w:r>
            <w:r>
              <w:rPr>
                <w:rFonts w:asciiTheme="minorHAnsi" w:hAnsiTheme="minorHAnsi" w:cstheme="minorHAnsi"/>
                <w:sz w:val="22"/>
                <w:szCs w:val="22"/>
              </w:rPr>
              <w:t xml:space="preserve"> </w:t>
            </w:r>
            <w:r w:rsidRPr="00DE1A1A">
              <w:rPr>
                <w:rFonts w:asciiTheme="minorHAnsi" w:hAnsiTheme="minorHAnsi" w:cstheme="minorHAnsi"/>
                <w:sz w:val="22"/>
                <w:szCs w:val="22"/>
              </w:rPr>
              <w:t>to bowiem z pozyskiwaniem szerokiego zakresu danych osobowych.</w:t>
            </w:r>
          </w:p>
          <w:p w14:paraId="3D6618B8" w14:textId="7C28099E" w:rsidR="00DE1A1A" w:rsidRDefault="00DE1A1A" w:rsidP="00DE1A1A">
            <w:pPr>
              <w:pStyle w:val="Tekstkomentarza"/>
              <w:spacing w:line="276" w:lineRule="auto"/>
              <w:rPr>
                <w:rFonts w:asciiTheme="minorHAnsi" w:hAnsiTheme="minorHAnsi" w:cstheme="minorHAnsi"/>
                <w:sz w:val="22"/>
                <w:szCs w:val="22"/>
              </w:rPr>
            </w:pPr>
            <w:r w:rsidRPr="00DE1A1A">
              <w:rPr>
                <w:rFonts w:asciiTheme="minorHAnsi" w:hAnsiTheme="minorHAnsi" w:cstheme="minorHAnsi"/>
                <w:sz w:val="22"/>
                <w:szCs w:val="22"/>
              </w:rPr>
              <w:t>Projektodawca nie uregulował warunków, kryteriów i trybu pozyskiwania</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danych z systemu informacji w ochronie zdrowia, nie wyjaśnił na czym polega</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wymiana informacji między systemami, nie wskazał celu wymiany, ani nie wykazał</w:t>
            </w:r>
            <w:r>
              <w:rPr>
                <w:rFonts w:asciiTheme="minorHAnsi" w:hAnsiTheme="minorHAnsi" w:cstheme="minorHAnsi"/>
                <w:sz w:val="22"/>
                <w:szCs w:val="22"/>
              </w:rPr>
              <w:t xml:space="preserve"> </w:t>
            </w:r>
            <w:r w:rsidRPr="00DE1A1A">
              <w:rPr>
                <w:rFonts w:asciiTheme="minorHAnsi" w:hAnsiTheme="minorHAnsi" w:cstheme="minorHAnsi"/>
                <w:sz w:val="22"/>
                <w:szCs w:val="22"/>
              </w:rPr>
              <w:t>niezbędności przetwarzania tak szerokiego zakresu danych. Przepis ten</w:t>
            </w:r>
            <w:r>
              <w:rPr>
                <w:rFonts w:asciiTheme="minorHAnsi" w:hAnsiTheme="minorHAnsi" w:cstheme="minorHAnsi"/>
                <w:sz w:val="22"/>
                <w:szCs w:val="22"/>
              </w:rPr>
              <w:t xml:space="preserve"> </w:t>
            </w:r>
            <w:r w:rsidRPr="00DE1A1A">
              <w:rPr>
                <w:rFonts w:asciiTheme="minorHAnsi" w:hAnsiTheme="minorHAnsi" w:cstheme="minorHAnsi"/>
                <w:sz w:val="22"/>
                <w:szCs w:val="22"/>
              </w:rPr>
              <w:t>sformułowany bardzo ogólnie, wymaga zatem doprecyzowania, aby wykluczyć</w:t>
            </w:r>
            <w:r>
              <w:rPr>
                <w:rFonts w:asciiTheme="minorHAnsi" w:hAnsiTheme="minorHAnsi" w:cstheme="minorHAnsi"/>
                <w:sz w:val="22"/>
                <w:szCs w:val="22"/>
              </w:rPr>
              <w:t xml:space="preserve"> </w:t>
            </w:r>
            <w:r w:rsidRPr="00DE1A1A">
              <w:rPr>
                <w:rFonts w:asciiTheme="minorHAnsi" w:hAnsiTheme="minorHAnsi" w:cstheme="minorHAnsi"/>
                <w:sz w:val="22"/>
                <w:szCs w:val="22"/>
              </w:rPr>
              <w:t>niezgodnie z regulacjami ustalonymi mocą przepisów ustawy, nadmiarowe i</w:t>
            </w:r>
            <w:r>
              <w:rPr>
                <w:rFonts w:asciiTheme="minorHAnsi" w:hAnsiTheme="minorHAnsi" w:cstheme="minorHAnsi"/>
                <w:sz w:val="22"/>
                <w:szCs w:val="22"/>
              </w:rPr>
              <w:t xml:space="preserve"> </w:t>
            </w:r>
            <w:r w:rsidRPr="00DE1A1A">
              <w:rPr>
                <w:rFonts w:asciiTheme="minorHAnsi" w:hAnsiTheme="minorHAnsi" w:cstheme="minorHAnsi"/>
                <w:sz w:val="22"/>
                <w:szCs w:val="22"/>
              </w:rPr>
              <w:t xml:space="preserve">wykraczające poza cel </w:t>
            </w:r>
            <w:r w:rsidRPr="00DE1A1A">
              <w:rPr>
                <w:rFonts w:asciiTheme="minorHAnsi" w:hAnsiTheme="minorHAnsi" w:cstheme="minorHAnsi"/>
                <w:sz w:val="22"/>
                <w:szCs w:val="22"/>
              </w:rPr>
              <w:lastRenderedPageBreak/>
              <w:t>projektowanego rozwiązania, pozyskiwanie i dalsze</w:t>
            </w:r>
            <w:r>
              <w:rPr>
                <w:rFonts w:asciiTheme="minorHAnsi" w:hAnsiTheme="minorHAnsi" w:cstheme="minorHAnsi"/>
                <w:sz w:val="22"/>
                <w:szCs w:val="22"/>
              </w:rPr>
              <w:t xml:space="preserve"> </w:t>
            </w:r>
            <w:r w:rsidRPr="00DE1A1A">
              <w:rPr>
                <w:rFonts w:asciiTheme="minorHAnsi" w:hAnsiTheme="minorHAnsi" w:cstheme="minorHAnsi"/>
                <w:sz w:val="22"/>
                <w:szCs w:val="22"/>
              </w:rPr>
              <w:t>przetwarzanie danych z systemów i rejestrów medycznych, stosownie do zasad</w:t>
            </w:r>
            <w:r>
              <w:rPr>
                <w:rFonts w:asciiTheme="minorHAnsi" w:hAnsiTheme="minorHAnsi" w:cstheme="minorHAnsi"/>
                <w:sz w:val="22"/>
                <w:szCs w:val="22"/>
              </w:rPr>
              <w:t xml:space="preserve"> </w:t>
            </w:r>
            <w:r w:rsidRPr="00DE1A1A">
              <w:rPr>
                <w:rFonts w:asciiTheme="minorHAnsi" w:hAnsiTheme="minorHAnsi" w:cstheme="minorHAnsi"/>
                <w:sz w:val="22"/>
                <w:szCs w:val="22"/>
              </w:rPr>
              <w:t>dotyczących przetwarzania danych osobowych: legalności, przejrzystości i</w:t>
            </w:r>
            <w:r>
              <w:rPr>
                <w:rFonts w:asciiTheme="minorHAnsi" w:hAnsiTheme="minorHAnsi" w:cstheme="minorHAnsi"/>
                <w:sz w:val="22"/>
                <w:szCs w:val="22"/>
              </w:rPr>
              <w:t xml:space="preserve"> </w:t>
            </w:r>
            <w:r w:rsidRPr="00DE1A1A">
              <w:rPr>
                <w:rFonts w:asciiTheme="minorHAnsi" w:hAnsiTheme="minorHAnsi" w:cstheme="minorHAnsi"/>
                <w:sz w:val="22"/>
                <w:szCs w:val="22"/>
              </w:rPr>
              <w:t>rzetelności, a także celowości i minimalizacji danych (art. 5 ust. 1 lit. a, b, c</w:t>
            </w:r>
            <w:r>
              <w:rPr>
                <w:rFonts w:asciiTheme="minorHAnsi" w:hAnsiTheme="minorHAnsi" w:cstheme="minorHAnsi"/>
                <w:sz w:val="22"/>
                <w:szCs w:val="22"/>
              </w:rPr>
              <w:t xml:space="preserve"> </w:t>
            </w:r>
            <w:r w:rsidRPr="00DE1A1A">
              <w:rPr>
                <w:rFonts w:asciiTheme="minorHAnsi" w:hAnsiTheme="minorHAnsi" w:cstheme="minorHAnsi"/>
                <w:sz w:val="22"/>
                <w:szCs w:val="22"/>
              </w:rPr>
              <w:t>rozporządzenia 2016/679). Wymaga wyjaśnienia, uwzględniając hierarchię źródeł</w:t>
            </w:r>
            <w:r>
              <w:rPr>
                <w:rFonts w:asciiTheme="minorHAnsi" w:hAnsiTheme="minorHAnsi" w:cstheme="minorHAnsi"/>
                <w:sz w:val="22"/>
                <w:szCs w:val="22"/>
              </w:rPr>
              <w:t xml:space="preserve"> </w:t>
            </w:r>
            <w:r w:rsidRPr="00DE1A1A">
              <w:rPr>
                <w:rFonts w:asciiTheme="minorHAnsi" w:hAnsiTheme="minorHAnsi" w:cstheme="minorHAnsi"/>
                <w:sz w:val="22"/>
                <w:szCs w:val="22"/>
              </w:rPr>
              <w:t>prawa, czy projektowane zmiany nie obejmują swym zakresem rozwiązań, które</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powinny być przedmiotem materii ustawowej, a nie aktu wykonawczego. Podstawa</w:t>
            </w:r>
            <w:r>
              <w:rPr>
                <w:rFonts w:asciiTheme="minorHAnsi" w:hAnsiTheme="minorHAnsi" w:cstheme="minorHAnsi"/>
                <w:sz w:val="22"/>
                <w:szCs w:val="22"/>
              </w:rPr>
              <w:t xml:space="preserve"> </w:t>
            </w:r>
            <w:r w:rsidRPr="00DE1A1A">
              <w:rPr>
                <w:rFonts w:asciiTheme="minorHAnsi" w:hAnsiTheme="minorHAnsi" w:cstheme="minorHAnsi"/>
                <w:sz w:val="22"/>
                <w:szCs w:val="22"/>
              </w:rPr>
              <w:t>prawna przekazywania informacji pomiędzy systemami, określenie celu i sposobu, a</w:t>
            </w:r>
            <w:r>
              <w:rPr>
                <w:rFonts w:asciiTheme="minorHAnsi" w:hAnsiTheme="minorHAnsi" w:cstheme="minorHAnsi"/>
                <w:sz w:val="22"/>
                <w:szCs w:val="22"/>
              </w:rPr>
              <w:t xml:space="preserve"> </w:t>
            </w:r>
            <w:r w:rsidRPr="00DE1A1A">
              <w:rPr>
                <w:rFonts w:asciiTheme="minorHAnsi" w:hAnsiTheme="minorHAnsi" w:cstheme="minorHAnsi"/>
                <w:sz w:val="22"/>
                <w:szCs w:val="22"/>
              </w:rPr>
              <w:t>także zakresu pozyskiwanych danych – stosowanie do zasad wynikających z art. 5</w:t>
            </w:r>
            <w:r>
              <w:rPr>
                <w:rFonts w:asciiTheme="minorHAnsi" w:hAnsiTheme="minorHAnsi" w:cstheme="minorHAnsi"/>
                <w:sz w:val="22"/>
                <w:szCs w:val="22"/>
              </w:rPr>
              <w:t xml:space="preserve"> </w:t>
            </w:r>
            <w:r w:rsidRPr="00DE1A1A">
              <w:rPr>
                <w:rFonts w:asciiTheme="minorHAnsi" w:hAnsiTheme="minorHAnsi" w:cstheme="minorHAnsi"/>
                <w:sz w:val="22"/>
                <w:szCs w:val="22"/>
              </w:rPr>
              <w:t>ust. 1 a w zw. z art. 6 ust. 1 i 3, w zw. z art. 9 ust. 2 i 3 rozporządzenia 2016/679 –</w:t>
            </w:r>
            <w:r>
              <w:rPr>
                <w:rFonts w:asciiTheme="minorHAnsi" w:hAnsiTheme="minorHAnsi" w:cstheme="minorHAnsi"/>
                <w:sz w:val="22"/>
                <w:szCs w:val="22"/>
              </w:rPr>
              <w:t xml:space="preserve"> </w:t>
            </w:r>
            <w:r w:rsidRPr="00DE1A1A">
              <w:rPr>
                <w:rFonts w:asciiTheme="minorHAnsi" w:hAnsiTheme="minorHAnsi" w:cstheme="minorHAnsi"/>
                <w:sz w:val="22"/>
                <w:szCs w:val="22"/>
              </w:rPr>
              <w:t>powinna zostać uregulowana w ustawie.</w:t>
            </w:r>
          </w:p>
          <w:p w14:paraId="1D84328E" w14:textId="4E37DC45" w:rsidR="00DE1A1A" w:rsidRPr="00DE1A1A" w:rsidRDefault="00DE1A1A" w:rsidP="00DE1A1A">
            <w:pPr>
              <w:pStyle w:val="Tekstkomentarza"/>
              <w:spacing w:line="276" w:lineRule="auto"/>
              <w:rPr>
                <w:rFonts w:asciiTheme="minorHAnsi" w:hAnsiTheme="minorHAnsi" w:cstheme="minorHAnsi"/>
                <w:sz w:val="22"/>
                <w:szCs w:val="22"/>
              </w:rPr>
            </w:pPr>
            <w:r w:rsidRPr="00DE1A1A">
              <w:rPr>
                <w:rFonts w:asciiTheme="minorHAnsi" w:hAnsiTheme="minorHAnsi" w:cstheme="minorHAnsi"/>
                <w:sz w:val="22"/>
                <w:szCs w:val="22"/>
              </w:rPr>
              <w:t>Ochronę danych osobowych determinuje cel przetwarzania. Cel</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przetwarzania danych osobowych wyznacza bowiem ramy dozwolonego</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przetwarzania, tj. ramy oceny zgodności na podstawie przesłanek określonych w art.</w:t>
            </w:r>
            <w:r>
              <w:rPr>
                <w:rFonts w:asciiTheme="minorHAnsi" w:hAnsiTheme="minorHAnsi" w:cstheme="minorHAnsi"/>
                <w:sz w:val="22"/>
                <w:szCs w:val="22"/>
              </w:rPr>
              <w:t xml:space="preserve"> </w:t>
            </w:r>
            <w:r w:rsidRPr="00DE1A1A">
              <w:rPr>
                <w:rFonts w:asciiTheme="minorHAnsi" w:hAnsiTheme="minorHAnsi" w:cstheme="minorHAnsi"/>
                <w:sz w:val="22"/>
                <w:szCs w:val="22"/>
              </w:rPr>
              <w:t>6 i 9, zakres danych, czas przetwarzania, a także kwalifikuje dany podmiot jako</w:t>
            </w:r>
            <w:r>
              <w:rPr>
                <w:rFonts w:asciiTheme="minorHAnsi" w:hAnsiTheme="minorHAnsi" w:cstheme="minorHAnsi"/>
                <w:sz w:val="22"/>
                <w:szCs w:val="22"/>
              </w:rPr>
              <w:t xml:space="preserve"> </w:t>
            </w:r>
            <w:r w:rsidRPr="00DE1A1A">
              <w:rPr>
                <w:rFonts w:asciiTheme="minorHAnsi" w:hAnsiTheme="minorHAnsi" w:cstheme="minorHAnsi"/>
                <w:sz w:val="22"/>
                <w:szCs w:val="22"/>
              </w:rPr>
              <w:t>administratora (art. 5 ust. 1 lit. c rozporządzenie 2016/679). W przypadkach</w:t>
            </w:r>
            <w:r>
              <w:rPr>
                <w:rFonts w:asciiTheme="minorHAnsi" w:hAnsiTheme="minorHAnsi" w:cstheme="minorHAnsi"/>
                <w:sz w:val="22"/>
                <w:szCs w:val="22"/>
              </w:rPr>
              <w:t xml:space="preserve"> </w:t>
            </w:r>
            <w:r w:rsidRPr="00DE1A1A">
              <w:rPr>
                <w:rFonts w:asciiTheme="minorHAnsi" w:hAnsiTheme="minorHAnsi" w:cstheme="minorHAnsi"/>
                <w:sz w:val="22"/>
                <w:szCs w:val="22"/>
              </w:rPr>
              <w:t>wskazanych w art. 6 ust. 1 lit. c i e rozporządzenia 2016/6798, tj. dla przetwarzania</w:t>
            </w:r>
            <w:r>
              <w:rPr>
                <w:rFonts w:asciiTheme="minorHAnsi" w:hAnsiTheme="minorHAnsi" w:cstheme="minorHAnsi"/>
                <w:sz w:val="22"/>
                <w:szCs w:val="22"/>
              </w:rPr>
              <w:t xml:space="preserve"> </w:t>
            </w:r>
            <w:r w:rsidRPr="00DE1A1A">
              <w:rPr>
                <w:rFonts w:asciiTheme="minorHAnsi" w:hAnsiTheme="minorHAnsi" w:cstheme="minorHAnsi"/>
                <w:sz w:val="22"/>
                <w:szCs w:val="22"/>
              </w:rPr>
              <w:t xml:space="preserve">danych niezbędnego do </w:t>
            </w:r>
            <w:r w:rsidRPr="00DE1A1A">
              <w:rPr>
                <w:rFonts w:asciiTheme="minorHAnsi" w:hAnsiTheme="minorHAnsi" w:cstheme="minorHAnsi"/>
                <w:sz w:val="22"/>
                <w:szCs w:val="22"/>
              </w:rPr>
              <w:lastRenderedPageBreak/>
              <w:t>wypełnienia obowiązku prawnego ciążącego na</w:t>
            </w:r>
            <w:r>
              <w:rPr>
                <w:rFonts w:asciiTheme="minorHAnsi" w:hAnsiTheme="minorHAnsi" w:cstheme="minorHAnsi"/>
                <w:sz w:val="22"/>
                <w:szCs w:val="22"/>
              </w:rPr>
              <w:t xml:space="preserve"> </w:t>
            </w:r>
            <w:r w:rsidRPr="00DE1A1A">
              <w:rPr>
                <w:rFonts w:asciiTheme="minorHAnsi" w:hAnsiTheme="minorHAnsi" w:cstheme="minorHAnsi"/>
                <w:sz w:val="22"/>
                <w:szCs w:val="22"/>
              </w:rPr>
              <w:t>administratorze lub dla wykonywania zadania realizowanego w interesie publicznym,</w:t>
            </w:r>
            <w:r>
              <w:rPr>
                <w:rFonts w:asciiTheme="minorHAnsi" w:hAnsiTheme="minorHAnsi" w:cstheme="minorHAnsi"/>
                <w:sz w:val="22"/>
                <w:szCs w:val="22"/>
              </w:rPr>
              <w:t xml:space="preserve"> </w:t>
            </w:r>
            <w:r w:rsidRPr="00DE1A1A">
              <w:rPr>
                <w:rFonts w:asciiTheme="minorHAnsi" w:hAnsiTheme="minorHAnsi" w:cstheme="minorHAnsi"/>
                <w:sz w:val="22"/>
                <w:szCs w:val="22"/>
              </w:rPr>
              <w:t>zastosowanie znajduje art. 6 ust. 3 rozporządzenia 2016/6799, określający standard</w:t>
            </w:r>
            <w:r>
              <w:rPr>
                <w:rFonts w:asciiTheme="minorHAnsi" w:hAnsiTheme="minorHAnsi" w:cstheme="minorHAnsi"/>
                <w:sz w:val="22"/>
                <w:szCs w:val="22"/>
              </w:rPr>
              <w:t xml:space="preserve"> </w:t>
            </w:r>
            <w:r w:rsidRPr="00DE1A1A">
              <w:rPr>
                <w:rFonts w:asciiTheme="minorHAnsi" w:hAnsiTheme="minorHAnsi" w:cstheme="minorHAnsi"/>
                <w:sz w:val="22"/>
                <w:szCs w:val="22"/>
              </w:rPr>
              <w:t>dla przyjmowania podstawy przetwarzania - musi być ona określona w prawie</w:t>
            </w:r>
            <w:r>
              <w:rPr>
                <w:rFonts w:asciiTheme="minorHAnsi" w:hAnsiTheme="minorHAnsi" w:cstheme="minorHAnsi"/>
                <w:sz w:val="22"/>
                <w:szCs w:val="22"/>
              </w:rPr>
              <w:t xml:space="preserve"> </w:t>
            </w:r>
            <w:r w:rsidRPr="00DE1A1A">
              <w:rPr>
                <w:rFonts w:asciiTheme="minorHAnsi" w:hAnsiTheme="minorHAnsi" w:cstheme="minorHAnsi"/>
                <w:sz w:val="22"/>
                <w:szCs w:val="22"/>
              </w:rPr>
              <w:t>państwa członkowskiego, któremu podlega administrator, w tym zakresie celów</w:t>
            </w:r>
            <w:r>
              <w:rPr>
                <w:rFonts w:asciiTheme="minorHAnsi" w:hAnsiTheme="minorHAnsi" w:cstheme="minorHAnsi"/>
                <w:sz w:val="22"/>
                <w:szCs w:val="22"/>
              </w:rPr>
              <w:t xml:space="preserve"> </w:t>
            </w:r>
            <w:r w:rsidRPr="00DE1A1A">
              <w:rPr>
                <w:rFonts w:asciiTheme="minorHAnsi" w:hAnsiTheme="minorHAnsi" w:cstheme="minorHAnsi"/>
                <w:sz w:val="22"/>
                <w:szCs w:val="22"/>
              </w:rPr>
              <w:t>przetwarzania i innych elementów w tym przepisie wymienionych. Jednocześnie,</w:t>
            </w:r>
            <w:r>
              <w:rPr>
                <w:rFonts w:asciiTheme="minorHAnsi" w:hAnsiTheme="minorHAnsi" w:cstheme="minorHAnsi"/>
                <w:sz w:val="22"/>
                <w:szCs w:val="22"/>
              </w:rPr>
              <w:t xml:space="preserve"> </w:t>
            </w:r>
            <w:r w:rsidRPr="00DE1A1A">
              <w:rPr>
                <w:rFonts w:asciiTheme="minorHAnsi" w:hAnsiTheme="minorHAnsi" w:cstheme="minorHAnsi"/>
                <w:sz w:val="22"/>
                <w:szCs w:val="22"/>
              </w:rPr>
              <w:t>prawo krajowe nie zezwala na regulowanie mocą aktu wykonawczego zasadniczych</w:t>
            </w:r>
            <w:r>
              <w:rPr>
                <w:rFonts w:asciiTheme="minorHAnsi" w:hAnsiTheme="minorHAnsi" w:cstheme="minorHAnsi"/>
                <w:sz w:val="22"/>
                <w:szCs w:val="22"/>
              </w:rPr>
              <w:t xml:space="preserve"> </w:t>
            </w:r>
            <w:r w:rsidRPr="00DE1A1A">
              <w:rPr>
                <w:rFonts w:asciiTheme="minorHAnsi" w:hAnsiTheme="minorHAnsi" w:cstheme="minorHAnsi"/>
                <w:sz w:val="22"/>
                <w:szCs w:val="22"/>
              </w:rPr>
              <w:t>kwestii, o ile nie są one uprzednio ustalone mocą przepisów ustawowych. Standard</w:t>
            </w:r>
            <w:r>
              <w:rPr>
                <w:rFonts w:asciiTheme="minorHAnsi" w:hAnsiTheme="minorHAnsi" w:cstheme="minorHAnsi"/>
                <w:sz w:val="22"/>
                <w:szCs w:val="22"/>
              </w:rPr>
              <w:t xml:space="preserve"> </w:t>
            </w:r>
            <w:r w:rsidRPr="00DE1A1A">
              <w:rPr>
                <w:rFonts w:asciiTheme="minorHAnsi" w:hAnsiTheme="minorHAnsi" w:cstheme="minorHAnsi"/>
                <w:sz w:val="22"/>
                <w:szCs w:val="22"/>
              </w:rPr>
              <w:t>ochrony szczególnych kategorii danych osobowych wynika dodatkowo z art. 9 ust. 3 i</w:t>
            </w:r>
            <w:r>
              <w:rPr>
                <w:rFonts w:asciiTheme="minorHAnsi" w:hAnsiTheme="minorHAnsi" w:cstheme="minorHAnsi"/>
                <w:sz w:val="22"/>
                <w:szCs w:val="22"/>
              </w:rPr>
              <w:t xml:space="preserve"> </w:t>
            </w:r>
            <w:r w:rsidRPr="00DE1A1A">
              <w:rPr>
                <w:rFonts w:asciiTheme="minorHAnsi" w:hAnsiTheme="minorHAnsi" w:cstheme="minorHAnsi"/>
                <w:sz w:val="22"/>
                <w:szCs w:val="22"/>
              </w:rPr>
              <w:t>4 rozporządzenia 2026/679.</w:t>
            </w:r>
            <w:r>
              <w:rPr>
                <w:rFonts w:asciiTheme="minorHAnsi" w:hAnsiTheme="minorHAnsi" w:cstheme="minorHAnsi"/>
                <w:sz w:val="22"/>
                <w:szCs w:val="22"/>
              </w:rPr>
              <w:t xml:space="preserve"> </w:t>
            </w:r>
            <w:r w:rsidRPr="00DE1A1A">
              <w:rPr>
                <w:rFonts w:asciiTheme="minorHAnsi" w:hAnsiTheme="minorHAnsi" w:cstheme="minorHAnsi"/>
                <w:sz w:val="22"/>
                <w:szCs w:val="22"/>
              </w:rPr>
              <w:t>Z uwagi na projektowaną zmianę umożliwiającą „wymianę danych w ramach</w:t>
            </w:r>
            <w:r>
              <w:rPr>
                <w:rFonts w:asciiTheme="minorHAnsi" w:hAnsiTheme="minorHAnsi" w:cstheme="minorHAnsi"/>
                <w:sz w:val="22"/>
                <w:szCs w:val="22"/>
              </w:rPr>
              <w:t xml:space="preserve"> </w:t>
            </w:r>
            <w:r w:rsidRPr="00DE1A1A">
              <w:rPr>
                <w:rFonts w:asciiTheme="minorHAnsi" w:hAnsiTheme="minorHAnsi" w:cstheme="minorHAnsi"/>
                <w:sz w:val="22"/>
                <w:szCs w:val="22"/>
              </w:rPr>
              <w:t>systemu z system informacji w ochronie zdrowia”, a zatem przetwarzanie danych</w:t>
            </w:r>
            <w:r>
              <w:rPr>
                <w:rFonts w:asciiTheme="minorHAnsi" w:hAnsiTheme="minorHAnsi" w:cstheme="minorHAnsi"/>
                <w:sz w:val="22"/>
                <w:szCs w:val="22"/>
              </w:rPr>
              <w:t xml:space="preserve"> </w:t>
            </w:r>
            <w:r w:rsidRPr="00DE1A1A">
              <w:rPr>
                <w:rFonts w:asciiTheme="minorHAnsi" w:hAnsiTheme="minorHAnsi" w:cstheme="minorHAnsi"/>
                <w:sz w:val="22"/>
                <w:szCs w:val="22"/>
              </w:rPr>
              <w:t>przy zastosowaniu nowych technologii, na dużą skalę, w ocenie organu</w:t>
            </w:r>
            <w:r>
              <w:rPr>
                <w:rFonts w:asciiTheme="minorHAnsi" w:hAnsiTheme="minorHAnsi" w:cstheme="minorHAnsi"/>
                <w:sz w:val="22"/>
                <w:szCs w:val="22"/>
              </w:rPr>
              <w:t xml:space="preserve"> </w:t>
            </w:r>
            <w:r w:rsidRPr="00DE1A1A">
              <w:rPr>
                <w:rFonts w:asciiTheme="minorHAnsi" w:hAnsiTheme="minorHAnsi" w:cstheme="minorHAnsi"/>
                <w:sz w:val="22"/>
                <w:szCs w:val="22"/>
              </w:rPr>
              <w:t>nadzorczego, konieczne jest przeprowadzenie testu prywatności, w tym oceny</w:t>
            </w:r>
            <w:r>
              <w:rPr>
                <w:rFonts w:asciiTheme="minorHAnsi" w:hAnsiTheme="minorHAnsi" w:cstheme="minorHAnsi"/>
                <w:sz w:val="22"/>
                <w:szCs w:val="22"/>
              </w:rPr>
              <w:t xml:space="preserve"> </w:t>
            </w:r>
            <w:r w:rsidRPr="00DE1A1A">
              <w:rPr>
                <w:rFonts w:asciiTheme="minorHAnsi" w:hAnsiTheme="minorHAnsi" w:cstheme="minorHAnsi"/>
                <w:sz w:val="22"/>
                <w:szCs w:val="22"/>
              </w:rPr>
              <w:t>skutków dla ochrony danych (art. 25 ust. 110 oraz 35 ust. 111 rozporządzenia</w:t>
            </w:r>
            <w:r>
              <w:rPr>
                <w:rFonts w:asciiTheme="minorHAnsi" w:hAnsiTheme="minorHAnsi" w:cstheme="minorHAnsi"/>
                <w:sz w:val="22"/>
                <w:szCs w:val="22"/>
              </w:rPr>
              <w:t xml:space="preserve"> </w:t>
            </w:r>
            <w:r w:rsidRPr="00DE1A1A">
              <w:rPr>
                <w:rFonts w:asciiTheme="minorHAnsi" w:hAnsiTheme="minorHAnsi" w:cstheme="minorHAnsi"/>
                <w:sz w:val="22"/>
                <w:szCs w:val="22"/>
              </w:rPr>
              <w:t>2016/679), które służą ocenie ryzyka naruszenia praw lub wolności podmiotów</w:t>
            </w:r>
            <w:r>
              <w:rPr>
                <w:rFonts w:asciiTheme="minorHAnsi" w:hAnsiTheme="minorHAnsi" w:cstheme="minorHAnsi"/>
                <w:sz w:val="22"/>
                <w:szCs w:val="22"/>
              </w:rPr>
              <w:t xml:space="preserve"> </w:t>
            </w:r>
            <w:r w:rsidRPr="00DE1A1A">
              <w:rPr>
                <w:rFonts w:asciiTheme="minorHAnsi" w:hAnsiTheme="minorHAnsi" w:cstheme="minorHAnsi"/>
                <w:sz w:val="22"/>
                <w:szCs w:val="22"/>
              </w:rPr>
              <w:t>danych.</w:t>
            </w:r>
            <w:r>
              <w:rPr>
                <w:rFonts w:asciiTheme="minorHAnsi" w:hAnsiTheme="minorHAnsi" w:cstheme="minorHAnsi"/>
                <w:sz w:val="22"/>
                <w:szCs w:val="22"/>
              </w:rPr>
              <w:br/>
            </w:r>
            <w:r w:rsidRPr="00DE1A1A">
              <w:rPr>
                <w:rFonts w:asciiTheme="minorHAnsi" w:hAnsiTheme="minorHAnsi" w:cstheme="minorHAnsi"/>
                <w:sz w:val="22"/>
                <w:szCs w:val="22"/>
              </w:rPr>
              <w:t xml:space="preserve">Nie można więc zgodzić się z projektodawcą, jak wskazano w </w:t>
            </w:r>
            <w:r w:rsidRPr="00DE1A1A">
              <w:rPr>
                <w:rFonts w:asciiTheme="minorHAnsi" w:hAnsiTheme="minorHAnsi" w:cstheme="minorHAnsi"/>
                <w:sz w:val="22"/>
                <w:szCs w:val="22"/>
              </w:rPr>
              <w:lastRenderedPageBreak/>
              <w:t>uzasadnieniu,</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że „projekt rozporządzenia nie wywiera wpływu na obszar danych osobowych. W</w:t>
            </w:r>
            <w:r>
              <w:rPr>
                <w:rFonts w:asciiTheme="minorHAnsi" w:hAnsiTheme="minorHAnsi" w:cstheme="minorHAnsi"/>
                <w:sz w:val="22"/>
                <w:szCs w:val="22"/>
              </w:rPr>
              <w:t xml:space="preserve"> </w:t>
            </w:r>
            <w:r w:rsidRPr="00DE1A1A">
              <w:rPr>
                <w:rFonts w:asciiTheme="minorHAnsi" w:hAnsiTheme="minorHAnsi" w:cstheme="minorHAnsi"/>
                <w:sz w:val="22"/>
                <w:szCs w:val="22"/>
              </w:rPr>
              <w:t>związku z tym, nie przeprowadzono oceny skutków dla ochrony danych osobowych”.</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Zdaniem Prezesa UODO, przeprowadzenie testu pozwoli na szczegółowe</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rozeznanie ryzyk towarzyszących przetwarzaniu dla praw i wolności podmiotów</w:t>
            </w:r>
            <w:r>
              <w:rPr>
                <w:rFonts w:asciiTheme="minorHAnsi" w:hAnsiTheme="minorHAnsi" w:cstheme="minorHAnsi"/>
                <w:sz w:val="22"/>
                <w:szCs w:val="22"/>
              </w:rPr>
              <w:t xml:space="preserve"> </w:t>
            </w:r>
            <w:r w:rsidRPr="00DE1A1A">
              <w:rPr>
                <w:rFonts w:asciiTheme="minorHAnsi" w:hAnsiTheme="minorHAnsi" w:cstheme="minorHAnsi"/>
                <w:sz w:val="22"/>
                <w:szCs w:val="22"/>
              </w:rPr>
              <w:t>danych oraz na wprowadzenie gwarancji te ryzyka eliminujące. Co istotne, przegląd</w:t>
            </w:r>
            <w:r>
              <w:rPr>
                <w:rFonts w:asciiTheme="minorHAnsi" w:hAnsiTheme="minorHAnsi" w:cstheme="minorHAnsi"/>
                <w:sz w:val="22"/>
                <w:szCs w:val="22"/>
              </w:rPr>
              <w:t xml:space="preserve"> </w:t>
            </w:r>
            <w:r w:rsidRPr="00DE1A1A">
              <w:rPr>
                <w:rFonts w:asciiTheme="minorHAnsi" w:hAnsiTheme="minorHAnsi" w:cstheme="minorHAnsi"/>
                <w:sz w:val="22"/>
                <w:szCs w:val="22"/>
              </w:rPr>
              <w:t>ten pozwoli na określenie jasnej i precyzyjnej podstawy prawnej przetwarzania</w:t>
            </w:r>
            <w:r>
              <w:rPr>
                <w:rFonts w:asciiTheme="minorHAnsi" w:hAnsiTheme="minorHAnsi" w:cstheme="minorHAnsi"/>
                <w:sz w:val="22"/>
                <w:szCs w:val="22"/>
              </w:rPr>
              <w:t xml:space="preserve"> </w:t>
            </w:r>
            <w:r w:rsidRPr="00DE1A1A">
              <w:rPr>
                <w:rFonts w:asciiTheme="minorHAnsi" w:hAnsiTheme="minorHAnsi" w:cstheme="minorHAnsi"/>
                <w:sz w:val="22"/>
                <w:szCs w:val="22"/>
              </w:rPr>
              <w:t>(pozyskiwania, gromadzenia, udostępniania). Takie rozwiązanie przyczyni się więc</w:t>
            </w:r>
            <w:r>
              <w:rPr>
                <w:rFonts w:asciiTheme="minorHAnsi" w:hAnsiTheme="minorHAnsi" w:cstheme="minorHAnsi"/>
                <w:sz w:val="22"/>
                <w:szCs w:val="22"/>
              </w:rPr>
              <w:t xml:space="preserve"> </w:t>
            </w:r>
            <w:r w:rsidRPr="00DE1A1A">
              <w:rPr>
                <w:rFonts w:asciiTheme="minorHAnsi" w:hAnsiTheme="minorHAnsi" w:cstheme="minorHAnsi"/>
                <w:sz w:val="22"/>
                <w:szCs w:val="22"/>
              </w:rPr>
              <w:t>do tworzenia systemu informatycznego i projektowanych przepisów w zgodzie z</w:t>
            </w:r>
            <w:r>
              <w:rPr>
                <w:rFonts w:asciiTheme="minorHAnsi" w:hAnsiTheme="minorHAnsi" w:cstheme="minorHAnsi"/>
                <w:sz w:val="22"/>
                <w:szCs w:val="22"/>
              </w:rPr>
              <w:t xml:space="preserve"> </w:t>
            </w:r>
            <w:r w:rsidRPr="00DE1A1A">
              <w:rPr>
                <w:rFonts w:asciiTheme="minorHAnsi" w:hAnsiTheme="minorHAnsi" w:cstheme="minorHAnsi"/>
                <w:sz w:val="22"/>
                <w:szCs w:val="22"/>
              </w:rPr>
              <w:t>przepisami rozporządzenia 2016/679.</w:t>
            </w:r>
          </w:p>
          <w:p w14:paraId="6521BAC0" w14:textId="7DF5F314" w:rsidR="00DE1A1A" w:rsidRPr="00411523" w:rsidRDefault="00DE1A1A" w:rsidP="00B266E3">
            <w:pPr>
              <w:pStyle w:val="Tekstkomentarza"/>
              <w:spacing w:line="276" w:lineRule="auto"/>
              <w:rPr>
                <w:rFonts w:asciiTheme="minorHAnsi" w:hAnsiTheme="minorHAnsi" w:cstheme="minorHAnsi"/>
                <w:sz w:val="22"/>
                <w:szCs w:val="22"/>
              </w:rPr>
            </w:pPr>
            <w:r w:rsidRPr="00DE1A1A">
              <w:rPr>
                <w:rFonts w:asciiTheme="minorHAnsi" w:hAnsiTheme="minorHAnsi" w:cstheme="minorHAnsi"/>
                <w:sz w:val="22"/>
                <w:szCs w:val="22"/>
              </w:rPr>
              <w:t>Projektodawca wskazuje, że system „zapewnia” wymianę informacji, co w</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ocenie Prezesa UODO nie jest właściwym rozwiązaniem. Odpowiedzialność za</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przetwarzanie danych osobowych – prawa i obowiązki związane z przetwarzaniem</w:t>
            </w:r>
            <w:r>
              <w:rPr>
                <w:rFonts w:asciiTheme="minorHAnsi" w:hAnsiTheme="minorHAnsi" w:cstheme="minorHAnsi"/>
                <w:sz w:val="22"/>
                <w:szCs w:val="22"/>
              </w:rPr>
              <w:t xml:space="preserve"> </w:t>
            </w:r>
            <w:r w:rsidRPr="00DE1A1A">
              <w:rPr>
                <w:rFonts w:asciiTheme="minorHAnsi" w:hAnsiTheme="minorHAnsi" w:cstheme="minorHAnsi"/>
                <w:sz w:val="22"/>
                <w:szCs w:val="22"/>
              </w:rPr>
              <w:t>danych osobowych - muszą być przypisane podmiotowi a nie narzędziu.</w:t>
            </w:r>
          </w:p>
        </w:tc>
        <w:tc>
          <w:tcPr>
            <w:tcW w:w="0" w:type="auto"/>
          </w:tcPr>
          <w:p w14:paraId="5A06399B" w14:textId="77777777" w:rsidR="00DE1A1A" w:rsidRPr="00411523" w:rsidRDefault="00DE1A1A" w:rsidP="005846DD">
            <w:pPr>
              <w:rPr>
                <w:rFonts w:asciiTheme="minorHAnsi" w:hAnsiTheme="minorHAnsi" w:cstheme="minorHAnsi"/>
                <w:sz w:val="22"/>
                <w:szCs w:val="22"/>
              </w:rPr>
            </w:pPr>
          </w:p>
        </w:tc>
        <w:tc>
          <w:tcPr>
            <w:tcW w:w="0" w:type="auto"/>
          </w:tcPr>
          <w:p w14:paraId="78BB7F9F" w14:textId="57936F11" w:rsidR="008A60E1" w:rsidRDefault="008A60E1" w:rsidP="008A60E1">
            <w:pPr>
              <w:rPr>
                <w:rFonts w:asciiTheme="minorHAnsi" w:hAnsiTheme="minorHAnsi" w:cstheme="minorHAnsi"/>
                <w:bCs/>
                <w:sz w:val="22"/>
                <w:szCs w:val="22"/>
              </w:rPr>
            </w:pPr>
            <w:r>
              <w:rPr>
                <w:rFonts w:asciiTheme="minorHAnsi" w:hAnsiTheme="minorHAnsi" w:cstheme="minorHAnsi"/>
                <w:bCs/>
                <w:sz w:val="22"/>
                <w:szCs w:val="22"/>
              </w:rPr>
              <w:t>Uwaga uwzględniona poprzez zmianę brzmienia pkt 4a.</w:t>
            </w:r>
          </w:p>
          <w:p w14:paraId="3BDCD1B1" w14:textId="3CD5FF9A" w:rsidR="00DE1A1A" w:rsidRPr="00411523" w:rsidRDefault="008A60E1" w:rsidP="00BB7BD0">
            <w:pPr>
              <w:rPr>
                <w:rFonts w:asciiTheme="minorHAnsi" w:hAnsiTheme="minorHAnsi" w:cstheme="minorHAnsi"/>
                <w:sz w:val="22"/>
                <w:szCs w:val="22"/>
              </w:rPr>
            </w:pPr>
            <w:r>
              <w:rPr>
                <w:rFonts w:asciiTheme="minorHAnsi" w:hAnsiTheme="minorHAnsi" w:cstheme="minorHAnsi"/>
                <w:sz w:val="22"/>
                <w:szCs w:val="22"/>
              </w:rPr>
              <w:t>Patrz pkt 1.</w:t>
            </w:r>
          </w:p>
        </w:tc>
      </w:tr>
      <w:tr w:rsidR="00DE1A1A" w:rsidRPr="00411523" w14:paraId="725CD842" w14:textId="77777777" w:rsidTr="008A60E1">
        <w:tc>
          <w:tcPr>
            <w:tcW w:w="0" w:type="auto"/>
          </w:tcPr>
          <w:p w14:paraId="3C2E11E2" w14:textId="48AB7CA8" w:rsidR="00DE1A1A" w:rsidRPr="00411523" w:rsidRDefault="00756ADE" w:rsidP="00A06425">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7</w:t>
            </w:r>
          </w:p>
        </w:tc>
        <w:tc>
          <w:tcPr>
            <w:tcW w:w="0" w:type="auto"/>
          </w:tcPr>
          <w:p w14:paraId="4E70EB3C" w14:textId="2D630318" w:rsidR="00DE1A1A" w:rsidRPr="00411523" w:rsidRDefault="00DE1A1A"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UODO</w:t>
            </w:r>
          </w:p>
        </w:tc>
        <w:tc>
          <w:tcPr>
            <w:tcW w:w="0" w:type="auto"/>
          </w:tcPr>
          <w:p w14:paraId="5CFD385C" w14:textId="0E67486B" w:rsidR="00DE1A1A" w:rsidRPr="00411523" w:rsidRDefault="00DE1A1A" w:rsidP="00CB1BD6">
            <w:pPr>
              <w:jc w:val="center"/>
              <w:rPr>
                <w:rStyle w:val="Ppogrubienie"/>
                <w:rFonts w:asciiTheme="minorHAnsi" w:hAnsiTheme="minorHAnsi" w:cstheme="minorHAnsi"/>
                <w:b w:val="0"/>
                <w:sz w:val="22"/>
                <w:szCs w:val="22"/>
              </w:rPr>
            </w:pPr>
            <w:r w:rsidRPr="00DE1A1A">
              <w:rPr>
                <w:rStyle w:val="Ppogrubienie"/>
                <w:rFonts w:asciiTheme="minorHAnsi" w:hAnsiTheme="minorHAnsi" w:cstheme="minorHAnsi"/>
                <w:b w:val="0"/>
                <w:sz w:val="22"/>
                <w:szCs w:val="22"/>
              </w:rPr>
              <w:t>§ 3 pkt 17</w:t>
            </w:r>
          </w:p>
        </w:tc>
        <w:tc>
          <w:tcPr>
            <w:tcW w:w="0" w:type="auto"/>
          </w:tcPr>
          <w:p w14:paraId="358708DC" w14:textId="15E6CB61" w:rsidR="00DE1A1A" w:rsidRPr="00DE1A1A" w:rsidRDefault="00DE1A1A" w:rsidP="00DE1A1A">
            <w:pPr>
              <w:pStyle w:val="Tekstkomentarza"/>
              <w:spacing w:line="276" w:lineRule="auto"/>
              <w:rPr>
                <w:rFonts w:asciiTheme="minorHAnsi" w:hAnsiTheme="minorHAnsi" w:cstheme="minorHAnsi"/>
                <w:sz w:val="22"/>
                <w:szCs w:val="22"/>
              </w:rPr>
            </w:pPr>
            <w:r w:rsidRPr="00DE1A1A">
              <w:rPr>
                <w:rFonts w:asciiTheme="minorHAnsi" w:hAnsiTheme="minorHAnsi" w:cstheme="minorHAnsi"/>
                <w:sz w:val="22"/>
                <w:szCs w:val="22"/>
              </w:rPr>
              <w:t>SWD PRM w ramach minimalnych funkcjonalności zapewnia: „środowisko</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szkoleniowe, posiadające funkcjonalności środowiska produkcyjnego SWD PRM,</w:t>
            </w:r>
            <w:r>
              <w:rPr>
                <w:rFonts w:asciiTheme="minorHAnsi" w:hAnsiTheme="minorHAnsi" w:cstheme="minorHAnsi"/>
                <w:sz w:val="22"/>
                <w:szCs w:val="22"/>
              </w:rPr>
              <w:t xml:space="preserve"> </w:t>
            </w:r>
            <w:r w:rsidRPr="00DE1A1A">
              <w:rPr>
                <w:rFonts w:asciiTheme="minorHAnsi" w:hAnsiTheme="minorHAnsi" w:cstheme="minorHAnsi"/>
                <w:sz w:val="22"/>
                <w:szCs w:val="22"/>
              </w:rPr>
              <w:t xml:space="preserve">umożliwiające prowadzenie szkoleń i ćwiczeń dla użytkowników SWD PRM oraz </w:t>
            </w:r>
            <w:r w:rsidRPr="00DE1A1A">
              <w:rPr>
                <w:rFonts w:asciiTheme="minorHAnsi" w:hAnsiTheme="minorHAnsi" w:cstheme="minorHAnsi"/>
                <w:sz w:val="22"/>
                <w:szCs w:val="22"/>
              </w:rPr>
              <w:lastRenderedPageBreak/>
              <w:t>dla</w:t>
            </w:r>
            <w:r>
              <w:rPr>
                <w:rFonts w:asciiTheme="minorHAnsi" w:hAnsiTheme="minorHAnsi" w:cstheme="minorHAnsi"/>
                <w:sz w:val="22"/>
                <w:szCs w:val="22"/>
              </w:rPr>
              <w:t xml:space="preserve"> </w:t>
            </w:r>
            <w:r w:rsidRPr="00DE1A1A">
              <w:rPr>
                <w:rFonts w:asciiTheme="minorHAnsi" w:hAnsiTheme="minorHAnsi" w:cstheme="minorHAnsi"/>
                <w:sz w:val="22"/>
                <w:szCs w:val="22"/>
              </w:rPr>
              <w:t>studentów kierunków medycznych;”. Przepis ten, stosownie do treści zasady</w:t>
            </w:r>
            <w:r>
              <w:rPr>
                <w:rFonts w:asciiTheme="minorHAnsi" w:hAnsiTheme="minorHAnsi" w:cstheme="minorHAnsi"/>
                <w:sz w:val="22"/>
                <w:szCs w:val="22"/>
              </w:rPr>
              <w:t xml:space="preserve"> </w:t>
            </w:r>
            <w:r w:rsidRPr="00DE1A1A">
              <w:rPr>
                <w:rFonts w:asciiTheme="minorHAnsi" w:hAnsiTheme="minorHAnsi" w:cstheme="minorHAnsi"/>
                <w:sz w:val="22"/>
                <w:szCs w:val="22"/>
              </w:rPr>
              <w:t>celowości i minimalizacji danych (art. 5 ust. 1 lit. b i c rozporządzenia 2016/679),</w:t>
            </w:r>
            <w:r>
              <w:rPr>
                <w:rFonts w:asciiTheme="minorHAnsi" w:hAnsiTheme="minorHAnsi" w:cstheme="minorHAnsi"/>
                <w:sz w:val="22"/>
                <w:szCs w:val="22"/>
              </w:rPr>
              <w:t xml:space="preserve"> </w:t>
            </w:r>
            <w:r w:rsidRPr="00DE1A1A">
              <w:rPr>
                <w:rFonts w:asciiTheme="minorHAnsi" w:hAnsiTheme="minorHAnsi" w:cstheme="minorHAnsi"/>
                <w:sz w:val="22"/>
                <w:szCs w:val="22"/>
              </w:rPr>
              <w:t>wymaga wyjaśnienia i doprecyzowania poprzez wskazanie, że we wskazanym celu</w:t>
            </w:r>
            <w:r>
              <w:rPr>
                <w:rFonts w:asciiTheme="minorHAnsi" w:hAnsiTheme="minorHAnsi" w:cstheme="minorHAnsi"/>
                <w:sz w:val="22"/>
                <w:szCs w:val="22"/>
              </w:rPr>
              <w:t xml:space="preserve"> </w:t>
            </w:r>
            <w:r w:rsidRPr="00DE1A1A">
              <w:rPr>
                <w:rFonts w:asciiTheme="minorHAnsi" w:hAnsiTheme="minorHAnsi" w:cstheme="minorHAnsi"/>
                <w:sz w:val="22"/>
                <w:szCs w:val="22"/>
              </w:rPr>
              <w:t>szkoleniowym system nie będzie przetwarzał szerokiego zakresu danych</w:t>
            </w:r>
            <w:r>
              <w:rPr>
                <w:rFonts w:asciiTheme="minorHAnsi" w:hAnsiTheme="minorHAnsi" w:cstheme="minorHAnsi"/>
                <w:sz w:val="22"/>
                <w:szCs w:val="22"/>
              </w:rPr>
              <w:t xml:space="preserve"> </w:t>
            </w:r>
            <w:r w:rsidRPr="00DE1A1A">
              <w:rPr>
                <w:rFonts w:asciiTheme="minorHAnsi" w:hAnsiTheme="minorHAnsi" w:cstheme="minorHAnsi"/>
                <w:sz w:val="22"/>
                <w:szCs w:val="22"/>
              </w:rPr>
              <w:t>osobowych przetwarzanych w systemie informacji w ochronie zdrowia, objętych</w:t>
            </w:r>
            <w:r>
              <w:rPr>
                <w:rFonts w:asciiTheme="minorHAnsi" w:hAnsiTheme="minorHAnsi" w:cstheme="minorHAnsi"/>
                <w:sz w:val="22"/>
                <w:szCs w:val="22"/>
              </w:rPr>
              <w:t xml:space="preserve"> </w:t>
            </w:r>
            <w:r w:rsidRPr="00DE1A1A">
              <w:rPr>
                <w:rFonts w:asciiTheme="minorHAnsi" w:hAnsiTheme="minorHAnsi" w:cstheme="minorHAnsi"/>
                <w:sz w:val="22"/>
                <w:szCs w:val="22"/>
              </w:rPr>
              <w:t>tajemnicami prawnie chronionymi (zob. projektowany § 3 pkt 4a).</w:t>
            </w:r>
          </w:p>
          <w:p w14:paraId="7967F9E9" w14:textId="17F1D470" w:rsidR="00DE1A1A" w:rsidRPr="00411523" w:rsidRDefault="00DE1A1A" w:rsidP="00B266E3">
            <w:pPr>
              <w:pStyle w:val="Tekstkomentarza"/>
              <w:spacing w:line="276" w:lineRule="auto"/>
              <w:rPr>
                <w:rFonts w:asciiTheme="minorHAnsi" w:hAnsiTheme="minorHAnsi" w:cstheme="minorHAnsi"/>
                <w:sz w:val="22"/>
                <w:szCs w:val="22"/>
              </w:rPr>
            </w:pPr>
            <w:r w:rsidRPr="00DE1A1A">
              <w:rPr>
                <w:rFonts w:asciiTheme="minorHAnsi" w:hAnsiTheme="minorHAnsi" w:cstheme="minorHAnsi"/>
                <w:sz w:val="22"/>
                <w:szCs w:val="22"/>
              </w:rPr>
              <w:t>System SWD PRM należy także przeanalizować przez pryzmat zapewnienia</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stosowania Aktu w sprawie sztucznej inteligencji, z którego m.in. wynika</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odrębny obowiązek dokonania oceny skutków systemów AI wysokiego ryzyka dla</w:t>
            </w:r>
            <w:r>
              <w:rPr>
                <w:rFonts w:asciiTheme="minorHAnsi" w:hAnsiTheme="minorHAnsi" w:cstheme="minorHAnsi"/>
                <w:sz w:val="22"/>
                <w:szCs w:val="22"/>
              </w:rPr>
              <w:t xml:space="preserve"> </w:t>
            </w:r>
            <w:r w:rsidRPr="00DE1A1A">
              <w:rPr>
                <w:rFonts w:asciiTheme="minorHAnsi" w:hAnsiTheme="minorHAnsi" w:cstheme="minorHAnsi"/>
                <w:sz w:val="22"/>
                <w:szCs w:val="22"/>
              </w:rPr>
              <w:t>praw podstawowych (art. 27 Aktu w sprawie sztucznej inteligencji). Jeżeli więc</w:t>
            </w:r>
            <w:r>
              <w:rPr>
                <w:rFonts w:asciiTheme="minorHAnsi" w:hAnsiTheme="minorHAnsi" w:cstheme="minorHAnsi"/>
                <w:sz w:val="22"/>
                <w:szCs w:val="22"/>
              </w:rPr>
              <w:t xml:space="preserve"> </w:t>
            </w:r>
            <w:r w:rsidRPr="00DE1A1A">
              <w:rPr>
                <w:rFonts w:asciiTheme="minorHAnsi" w:hAnsiTheme="minorHAnsi" w:cstheme="minorHAnsi"/>
                <w:sz w:val="22"/>
                <w:szCs w:val="22"/>
              </w:rPr>
              <w:t>realizacja projektu będzie wiązała się z wykorzystaniem systemów AI to, w ocenie</w:t>
            </w:r>
            <w:r>
              <w:rPr>
                <w:rFonts w:asciiTheme="minorHAnsi" w:hAnsiTheme="minorHAnsi" w:cstheme="minorHAnsi"/>
                <w:sz w:val="22"/>
                <w:szCs w:val="22"/>
              </w:rPr>
              <w:t xml:space="preserve"> </w:t>
            </w:r>
            <w:r w:rsidRPr="00DE1A1A">
              <w:rPr>
                <w:rFonts w:asciiTheme="minorHAnsi" w:hAnsiTheme="minorHAnsi" w:cstheme="minorHAnsi"/>
                <w:sz w:val="22"/>
                <w:szCs w:val="22"/>
              </w:rPr>
              <w:t>organu nadzorczego, wnioskodawca powinien również uwzględnić dokonanie takiej</w:t>
            </w:r>
            <w:r>
              <w:rPr>
                <w:rFonts w:asciiTheme="minorHAnsi" w:hAnsiTheme="minorHAnsi" w:cstheme="minorHAnsi"/>
                <w:sz w:val="22"/>
                <w:szCs w:val="22"/>
              </w:rPr>
              <w:t xml:space="preserve"> </w:t>
            </w:r>
            <w:r w:rsidRPr="00DE1A1A">
              <w:rPr>
                <w:rFonts w:asciiTheme="minorHAnsi" w:hAnsiTheme="minorHAnsi" w:cstheme="minorHAnsi"/>
                <w:sz w:val="22"/>
                <w:szCs w:val="22"/>
              </w:rPr>
              <w:t>oceny w dokumencie opisu założeń projektu informatycznego. Takie systemy</w:t>
            </w:r>
            <w:r>
              <w:rPr>
                <w:rFonts w:asciiTheme="minorHAnsi" w:hAnsiTheme="minorHAnsi" w:cstheme="minorHAnsi"/>
                <w:sz w:val="22"/>
                <w:szCs w:val="22"/>
              </w:rPr>
              <w:t xml:space="preserve"> </w:t>
            </w:r>
            <w:r w:rsidRPr="00DE1A1A">
              <w:rPr>
                <w:rFonts w:asciiTheme="minorHAnsi" w:hAnsiTheme="minorHAnsi" w:cstheme="minorHAnsi"/>
                <w:sz w:val="22"/>
                <w:szCs w:val="22"/>
              </w:rPr>
              <w:t>dotyczące przetwarzania danych do wykorzystywania przez służbę zdrowia lub w jej</w:t>
            </w:r>
            <w:r>
              <w:rPr>
                <w:rFonts w:asciiTheme="minorHAnsi" w:hAnsiTheme="minorHAnsi" w:cstheme="minorHAnsi"/>
                <w:sz w:val="22"/>
                <w:szCs w:val="22"/>
              </w:rPr>
              <w:t xml:space="preserve"> </w:t>
            </w:r>
            <w:r w:rsidRPr="00DE1A1A">
              <w:rPr>
                <w:rFonts w:asciiTheme="minorHAnsi" w:hAnsiTheme="minorHAnsi" w:cstheme="minorHAnsi"/>
                <w:sz w:val="22"/>
                <w:szCs w:val="22"/>
              </w:rPr>
              <w:t>imieniu mogą bowiem spełniać przesłanki systemów AI wysokiego ryzyka, o</w:t>
            </w:r>
            <w:r>
              <w:rPr>
                <w:rFonts w:asciiTheme="minorHAnsi" w:hAnsiTheme="minorHAnsi" w:cstheme="minorHAnsi"/>
                <w:sz w:val="22"/>
                <w:szCs w:val="22"/>
              </w:rPr>
              <w:t xml:space="preserve"> </w:t>
            </w:r>
            <w:r w:rsidRPr="00DE1A1A">
              <w:rPr>
                <w:rFonts w:asciiTheme="minorHAnsi" w:hAnsiTheme="minorHAnsi" w:cstheme="minorHAnsi"/>
                <w:sz w:val="22"/>
                <w:szCs w:val="22"/>
              </w:rPr>
              <w:t>których mowa w art. 6 aktu w sprawie sztucznej inteligencji. Co również ważne,</w:t>
            </w:r>
            <w:r>
              <w:rPr>
                <w:rFonts w:asciiTheme="minorHAnsi" w:hAnsiTheme="minorHAnsi" w:cstheme="minorHAnsi"/>
                <w:sz w:val="22"/>
                <w:szCs w:val="22"/>
              </w:rPr>
              <w:t xml:space="preserve"> </w:t>
            </w:r>
            <w:r w:rsidRPr="00DE1A1A">
              <w:rPr>
                <w:rFonts w:asciiTheme="minorHAnsi" w:hAnsiTheme="minorHAnsi" w:cstheme="minorHAnsi"/>
                <w:sz w:val="22"/>
                <w:szCs w:val="22"/>
              </w:rPr>
              <w:t xml:space="preserve">ocena zgodności z prawem projektowanego </w:t>
            </w:r>
            <w:r w:rsidRPr="00DE1A1A">
              <w:rPr>
                <w:rFonts w:asciiTheme="minorHAnsi" w:hAnsiTheme="minorHAnsi" w:cstheme="minorHAnsi"/>
                <w:sz w:val="22"/>
                <w:szCs w:val="22"/>
              </w:rPr>
              <w:lastRenderedPageBreak/>
              <w:t>systemu z punktu widzenia art. 5 ust. 1lit. a rozporządzenia 2016/679 będzie wiązała się z wykazaniem zgodności z aktem</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w sprawie sztucznej inteligencji.</w:t>
            </w:r>
            <w:r>
              <w:rPr>
                <w:rFonts w:asciiTheme="minorHAnsi" w:hAnsiTheme="minorHAnsi" w:cstheme="minorHAnsi"/>
                <w:sz w:val="22"/>
                <w:szCs w:val="22"/>
              </w:rPr>
              <w:t xml:space="preserve"> </w:t>
            </w:r>
            <w:r w:rsidRPr="00DE1A1A">
              <w:rPr>
                <w:rFonts w:asciiTheme="minorHAnsi" w:hAnsiTheme="minorHAnsi" w:cstheme="minorHAnsi"/>
                <w:sz w:val="22"/>
                <w:szCs w:val="22"/>
              </w:rPr>
              <w:t>W kontekście tworzenia systemu informatycznego przetwarzającego dan</w:t>
            </w:r>
            <w:r>
              <w:rPr>
                <w:rFonts w:asciiTheme="minorHAnsi" w:hAnsiTheme="minorHAnsi" w:cstheme="minorHAnsi"/>
                <w:sz w:val="22"/>
                <w:szCs w:val="22"/>
              </w:rPr>
              <w:t xml:space="preserve">e </w:t>
            </w:r>
            <w:r w:rsidRPr="00DE1A1A">
              <w:rPr>
                <w:rFonts w:asciiTheme="minorHAnsi" w:hAnsiTheme="minorHAnsi" w:cstheme="minorHAnsi"/>
                <w:sz w:val="22"/>
                <w:szCs w:val="22"/>
              </w:rPr>
              <w:t>osobowe medyczne, w tym zapewniającego bezpieczne środowisko przetwarzania</w:t>
            </w:r>
            <w:r>
              <w:rPr>
                <w:rFonts w:asciiTheme="minorHAnsi" w:hAnsiTheme="minorHAnsi" w:cstheme="minorHAnsi"/>
                <w:sz w:val="22"/>
                <w:szCs w:val="22"/>
              </w:rPr>
              <w:t xml:space="preserve"> </w:t>
            </w:r>
            <w:r w:rsidRPr="00DE1A1A">
              <w:rPr>
                <w:rFonts w:asciiTheme="minorHAnsi" w:hAnsiTheme="minorHAnsi" w:cstheme="minorHAnsi"/>
                <w:sz w:val="22"/>
                <w:szCs w:val="22"/>
              </w:rPr>
              <w:t>danych osobowych należy również mieć na względzie perspektywę stosowania</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rozporządzenia o europejskiej przestrzeni danych dotyczących zdrowia (ang.</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EHDS), które weszło w życie 26 marca 2025 r</w:t>
            </w:r>
            <w:r>
              <w:rPr>
                <w:rFonts w:asciiTheme="minorHAnsi" w:hAnsiTheme="minorHAnsi" w:cstheme="minorHAnsi"/>
                <w:sz w:val="22"/>
                <w:szCs w:val="22"/>
              </w:rPr>
              <w:t xml:space="preserve"> </w:t>
            </w:r>
            <w:r w:rsidRPr="00DE1A1A">
              <w:rPr>
                <w:rFonts w:asciiTheme="minorHAnsi" w:hAnsiTheme="minorHAnsi" w:cstheme="minorHAnsi"/>
                <w:sz w:val="22"/>
                <w:szCs w:val="22"/>
              </w:rPr>
              <w:t>i odnosi się do pierwotnego i</w:t>
            </w:r>
            <w:r w:rsidR="00B266E3">
              <w:rPr>
                <w:rFonts w:asciiTheme="minorHAnsi" w:hAnsiTheme="minorHAnsi" w:cstheme="minorHAnsi"/>
                <w:sz w:val="22"/>
                <w:szCs w:val="22"/>
              </w:rPr>
              <w:t xml:space="preserve"> </w:t>
            </w:r>
            <w:r w:rsidRPr="00DE1A1A">
              <w:rPr>
                <w:rFonts w:asciiTheme="minorHAnsi" w:hAnsiTheme="minorHAnsi" w:cstheme="minorHAnsi"/>
                <w:sz w:val="22"/>
                <w:szCs w:val="22"/>
              </w:rPr>
              <w:t>wtórnego wykorzystywania danych</w:t>
            </w:r>
            <w:r>
              <w:rPr>
                <w:rFonts w:asciiTheme="minorHAnsi" w:hAnsiTheme="minorHAnsi" w:cstheme="minorHAnsi"/>
                <w:sz w:val="22"/>
                <w:szCs w:val="22"/>
              </w:rPr>
              <w:t xml:space="preserve"> </w:t>
            </w:r>
            <w:r w:rsidRPr="00DE1A1A">
              <w:rPr>
                <w:rFonts w:asciiTheme="minorHAnsi" w:hAnsiTheme="minorHAnsi" w:cstheme="minorHAnsi"/>
                <w:sz w:val="22"/>
                <w:szCs w:val="22"/>
              </w:rPr>
              <w:t>. Jak wynika z motywu 77 EHDS „przetwarzanie</w:t>
            </w:r>
            <w:r>
              <w:rPr>
                <w:rFonts w:asciiTheme="minorHAnsi" w:hAnsiTheme="minorHAnsi" w:cstheme="minorHAnsi"/>
                <w:sz w:val="22"/>
                <w:szCs w:val="22"/>
              </w:rPr>
              <w:t xml:space="preserve"> </w:t>
            </w:r>
            <w:r w:rsidRPr="00DE1A1A">
              <w:rPr>
                <w:rFonts w:asciiTheme="minorHAnsi" w:hAnsiTheme="minorHAnsi" w:cstheme="minorHAnsi"/>
                <w:sz w:val="22"/>
                <w:szCs w:val="22"/>
              </w:rPr>
              <w:t>danych osobowych w (…) bezpiecznym środowisku przetwarzania powinno być</w:t>
            </w:r>
            <w:r>
              <w:rPr>
                <w:rFonts w:asciiTheme="minorHAnsi" w:hAnsiTheme="minorHAnsi" w:cstheme="minorHAnsi"/>
                <w:sz w:val="22"/>
                <w:szCs w:val="22"/>
              </w:rPr>
              <w:t xml:space="preserve"> </w:t>
            </w:r>
            <w:r w:rsidRPr="00DE1A1A">
              <w:rPr>
                <w:rFonts w:asciiTheme="minorHAnsi" w:hAnsiTheme="minorHAnsi" w:cstheme="minorHAnsi"/>
                <w:sz w:val="22"/>
                <w:szCs w:val="22"/>
              </w:rPr>
              <w:t>zgodne z rozporządzeniem (UE) 2016/679”.</w:t>
            </w:r>
          </w:p>
        </w:tc>
        <w:tc>
          <w:tcPr>
            <w:tcW w:w="0" w:type="auto"/>
          </w:tcPr>
          <w:p w14:paraId="24EB4D57" w14:textId="77777777" w:rsidR="00DE1A1A" w:rsidRPr="00411523" w:rsidRDefault="00DE1A1A" w:rsidP="005846DD">
            <w:pPr>
              <w:rPr>
                <w:rFonts w:asciiTheme="minorHAnsi" w:hAnsiTheme="minorHAnsi" w:cstheme="minorHAnsi"/>
                <w:sz w:val="22"/>
                <w:szCs w:val="22"/>
              </w:rPr>
            </w:pPr>
          </w:p>
        </w:tc>
        <w:tc>
          <w:tcPr>
            <w:tcW w:w="0" w:type="auto"/>
          </w:tcPr>
          <w:p w14:paraId="724D8DD3" w14:textId="77777777" w:rsidR="00523B3E" w:rsidRDefault="00523B3E" w:rsidP="008A60E1">
            <w:pPr>
              <w:rPr>
                <w:rFonts w:asciiTheme="minorHAnsi" w:hAnsiTheme="minorHAnsi" w:cstheme="minorHAnsi"/>
                <w:sz w:val="22"/>
                <w:szCs w:val="22"/>
              </w:rPr>
            </w:pPr>
            <w:r>
              <w:rPr>
                <w:rFonts w:asciiTheme="minorHAnsi" w:hAnsiTheme="minorHAnsi" w:cstheme="minorHAnsi"/>
                <w:sz w:val="22"/>
                <w:szCs w:val="22"/>
              </w:rPr>
              <w:t>Uwaga nieuwzględniona</w:t>
            </w:r>
          </w:p>
          <w:p w14:paraId="6DA53994" w14:textId="4DDF1234" w:rsidR="00BD5DBF" w:rsidRDefault="008A60E1" w:rsidP="008A60E1">
            <w:pPr>
              <w:rPr>
                <w:rFonts w:asciiTheme="minorHAnsi" w:hAnsiTheme="minorHAnsi" w:cstheme="minorHAnsi"/>
                <w:sz w:val="22"/>
                <w:szCs w:val="22"/>
              </w:rPr>
            </w:pPr>
            <w:r>
              <w:rPr>
                <w:rFonts w:asciiTheme="minorHAnsi" w:hAnsiTheme="minorHAnsi" w:cstheme="minorHAnsi"/>
                <w:sz w:val="22"/>
                <w:szCs w:val="22"/>
              </w:rPr>
              <w:t xml:space="preserve">W zakresie środowiska szkoleniowego - </w:t>
            </w:r>
            <w:r w:rsidR="00523B3E">
              <w:rPr>
                <w:rFonts w:asciiTheme="minorHAnsi" w:hAnsiTheme="minorHAnsi" w:cstheme="minorHAnsi"/>
                <w:bCs/>
                <w:sz w:val="22"/>
                <w:szCs w:val="22"/>
              </w:rPr>
              <w:t>p</w:t>
            </w:r>
            <w:r>
              <w:rPr>
                <w:rFonts w:asciiTheme="minorHAnsi" w:hAnsiTheme="minorHAnsi" w:cstheme="minorHAnsi"/>
                <w:sz w:val="22"/>
                <w:szCs w:val="22"/>
              </w:rPr>
              <w:t xml:space="preserve">atrz pkt 3 </w:t>
            </w:r>
          </w:p>
          <w:p w14:paraId="7202D972" w14:textId="631FF69A" w:rsidR="00B266E3" w:rsidRPr="00411523" w:rsidRDefault="008A60E1" w:rsidP="00523B3E">
            <w:pPr>
              <w:rPr>
                <w:rFonts w:asciiTheme="minorHAnsi" w:hAnsiTheme="minorHAnsi" w:cstheme="minorHAnsi"/>
                <w:sz w:val="22"/>
                <w:szCs w:val="22"/>
              </w:rPr>
            </w:pPr>
            <w:r w:rsidRPr="008A60E1">
              <w:rPr>
                <w:rFonts w:asciiTheme="minorHAnsi" w:hAnsiTheme="minorHAnsi" w:cstheme="minorHAnsi"/>
                <w:sz w:val="22"/>
                <w:szCs w:val="22"/>
              </w:rPr>
              <w:t xml:space="preserve">W zakresie AI </w:t>
            </w:r>
            <w:r w:rsidR="00523B3E">
              <w:rPr>
                <w:rFonts w:asciiTheme="minorHAnsi" w:hAnsiTheme="minorHAnsi" w:cstheme="minorHAnsi"/>
                <w:sz w:val="22"/>
                <w:szCs w:val="22"/>
              </w:rPr>
              <w:t xml:space="preserve">- </w:t>
            </w:r>
            <w:r w:rsidR="00B266E3" w:rsidRPr="00B266E3">
              <w:rPr>
                <w:rFonts w:asciiTheme="minorHAnsi" w:hAnsiTheme="minorHAnsi" w:cstheme="minorHAnsi"/>
                <w:sz w:val="22"/>
                <w:szCs w:val="22"/>
              </w:rPr>
              <w:t>SWD PRM nie korzysta z systemów AI.</w:t>
            </w:r>
          </w:p>
        </w:tc>
      </w:tr>
      <w:tr w:rsidR="00DE1A1A" w:rsidRPr="00411523" w14:paraId="42D87253" w14:textId="77777777" w:rsidTr="008A60E1">
        <w:tc>
          <w:tcPr>
            <w:tcW w:w="0" w:type="auto"/>
          </w:tcPr>
          <w:p w14:paraId="3F31E766" w14:textId="75DA0FDF" w:rsidR="00DE1A1A" w:rsidRPr="00411523" w:rsidRDefault="00756ADE" w:rsidP="00A06425">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8</w:t>
            </w:r>
          </w:p>
        </w:tc>
        <w:tc>
          <w:tcPr>
            <w:tcW w:w="0" w:type="auto"/>
          </w:tcPr>
          <w:p w14:paraId="78870B45" w14:textId="42420955" w:rsidR="00DE1A1A" w:rsidRPr="00411523" w:rsidRDefault="00B266E3" w:rsidP="004D086F">
            <w:pPr>
              <w:spacing w:before="60" w:after="60"/>
              <w:jc w:val="center"/>
              <w:rPr>
                <w:rFonts w:asciiTheme="minorHAnsi" w:hAnsiTheme="minorHAnsi" w:cstheme="minorHAnsi"/>
                <w:b/>
                <w:sz w:val="22"/>
                <w:szCs w:val="22"/>
              </w:rPr>
            </w:pPr>
            <w:r w:rsidRPr="00B266E3">
              <w:rPr>
                <w:rFonts w:asciiTheme="minorHAnsi" w:hAnsiTheme="minorHAnsi" w:cstheme="minorHAnsi"/>
                <w:b/>
                <w:sz w:val="22"/>
                <w:szCs w:val="22"/>
              </w:rPr>
              <w:t>GUGiK</w:t>
            </w:r>
          </w:p>
        </w:tc>
        <w:tc>
          <w:tcPr>
            <w:tcW w:w="0" w:type="auto"/>
          </w:tcPr>
          <w:p w14:paraId="6FC84063" w14:textId="4CD2189A" w:rsidR="00DE1A1A" w:rsidRPr="00411523" w:rsidRDefault="00B266E3" w:rsidP="00B266E3">
            <w:pPr>
              <w:jc w:val="center"/>
              <w:rPr>
                <w:rStyle w:val="Ppogrubienie"/>
                <w:rFonts w:asciiTheme="minorHAnsi" w:hAnsiTheme="minorHAnsi" w:cstheme="minorHAnsi"/>
                <w:b w:val="0"/>
                <w:sz w:val="22"/>
                <w:szCs w:val="22"/>
              </w:rPr>
            </w:pPr>
            <w:r w:rsidRPr="00B266E3">
              <w:rPr>
                <w:rStyle w:val="Ppogrubienie"/>
                <w:rFonts w:asciiTheme="minorHAnsi" w:hAnsiTheme="minorHAnsi" w:cstheme="minorHAnsi"/>
                <w:b w:val="0"/>
                <w:sz w:val="22"/>
                <w:szCs w:val="22"/>
              </w:rPr>
              <w:t>§ 1 pkt 7) w brzmieniu:</w:t>
            </w:r>
            <w:r>
              <w:rPr>
                <w:rStyle w:val="Ppogrubienie"/>
                <w:rFonts w:asciiTheme="minorHAnsi" w:hAnsiTheme="minorHAnsi" w:cstheme="minorHAnsi"/>
                <w:b w:val="0"/>
                <w:sz w:val="22"/>
                <w:szCs w:val="22"/>
              </w:rPr>
              <w:t xml:space="preserve"> </w:t>
            </w:r>
            <w:r w:rsidRPr="00B266E3">
              <w:rPr>
                <w:rStyle w:val="Ppogrubienie"/>
                <w:rFonts w:asciiTheme="minorHAnsi" w:hAnsiTheme="minorHAnsi" w:cstheme="minorHAnsi"/>
                <w:b w:val="0"/>
                <w:sz w:val="22"/>
                <w:szCs w:val="22"/>
              </w:rPr>
              <w:t>w § 9:….c) w ust. 4:– skreśla się pkt 16,d) w ust. 5:– uchyla się pkt 9,</w:t>
            </w:r>
          </w:p>
        </w:tc>
        <w:tc>
          <w:tcPr>
            <w:tcW w:w="0" w:type="auto"/>
          </w:tcPr>
          <w:p w14:paraId="705B0C93" w14:textId="50D56824" w:rsidR="00DE1A1A" w:rsidRPr="00411523" w:rsidRDefault="00B266E3" w:rsidP="00B266E3">
            <w:pPr>
              <w:pStyle w:val="Tekstkomentarza"/>
              <w:spacing w:line="276" w:lineRule="auto"/>
              <w:rPr>
                <w:rFonts w:asciiTheme="minorHAnsi" w:hAnsiTheme="minorHAnsi" w:cstheme="minorHAnsi"/>
                <w:sz w:val="22"/>
                <w:szCs w:val="22"/>
              </w:rPr>
            </w:pPr>
            <w:r w:rsidRPr="00B266E3">
              <w:rPr>
                <w:rFonts w:asciiTheme="minorHAnsi" w:hAnsiTheme="minorHAnsi" w:cstheme="minorHAnsi"/>
                <w:sz w:val="22"/>
                <w:szCs w:val="22"/>
              </w:rPr>
              <w:t xml:space="preserve">W treści proponowanych zmian wskazano, że w § 9 ust. 4 </w:t>
            </w:r>
            <w:r>
              <w:rPr>
                <w:rFonts w:asciiTheme="minorHAnsi" w:hAnsiTheme="minorHAnsi" w:cstheme="minorHAnsi"/>
                <w:sz w:val="22"/>
                <w:szCs w:val="22"/>
              </w:rPr>
              <w:t xml:space="preserve"> </w:t>
            </w:r>
            <w:r w:rsidRPr="00B266E3">
              <w:rPr>
                <w:rFonts w:asciiTheme="minorHAnsi" w:hAnsiTheme="minorHAnsi" w:cstheme="minorHAnsi"/>
                <w:sz w:val="22"/>
                <w:szCs w:val="22"/>
              </w:rPr>
              <w:t xml:space="preserve">rozporządzenia Ministra Zdrowia z dnia 3 lipca 2019 r. w sprawie Systemu Wspomagania Dowodzenia Państwowego Ratownictwa Medycznego skreśla się pkt 16 (Przedsięwzięcia podejmowane przez dysponenta lotniczych zespołów </w:t>
            </w:r>
            <w:r>
              <w:rPr>
                <w:rFonts w:asciiTheme="minorHAnsi" w:hAnsiTheme="minorHAnsi" w:cstheme="minorHAnsi"/>
                <w:sz w:val="22"/>
                <w:szCs w:val="22"/>
              </w:rPr>
              <w:t xml:space="preserve"> </w:t>
            </w:r>
            <w:r w:rsidRPr="00B266E3">
              <w:rPr>
                <w:rFonts w:asciiTheme="minorHAnsi" w:hAnsiTheme="minorHAnsi" w:cstheme="minorHAnsi"/>
                <w:sz w:val="22"/>
                <w:szCs w:val="22"/>
              </w:rPr>
              <w:t xml:space="preserve">ratownictwa medycznego jako administratora centralnego SWD PRM nie będą obejmowały w szczególności tworzenia kont użytkowników i nadania uprawnień do aplikacji AUMM na potrzeby SWD PRM) oraz w § 9 ust. 5 uchyla się pkt 9 (Przedsięwzięcia podejmowane przez </w:t>
            </w:r>
            <w:r w:rsidRPr="00B266E3">
              <w:rPr>
                <w:rFonts w:asciiTheme="minorHAnsi" w:hAnsiTheme="minorHAnsi" w:cstheme="minorHAnsi"/>
                <w:sz w:val="22"/>
                <w:szCs w:val="22"/>
              </w:rPr>
              <w:lastRenderedPageBreak/>
              <w:t>wojewodów jako administratorów wojewódzkich nie będą obejmowały w szczególności występowania do ministra właściwego do spraw zdrowia o utworzenie kont użytkowników i nadanie uprawnień do aplikacji AUMM).</w:t>
            </w:r>
            <w:r>
              <w:rPr>
                <w:rFonts w:asciiTheme="minorHAnsi" w:hAnsiTheme="minorHAnsi" w:cstheme="minorHAnsi"/>
                <w:sz w:val="22"/>
                <w:szCs w:val="22"/>
              </w:rPr>
              <w:t xml:space="preserve"> </w:t>
            </w:r>
            <w:r w:rsidRPr="00B266E3">
              <w:rPr>
                <w:rFonts w:asciiTheme="minorHAnsi" w:hAnsiTheme="minorHAnsi" w:cstheme="minorHAnsi"/>
                <w:sz w:val="22"/>
                <w:szCs w:val="22"/>
              </w:rPr>
              <w:t>Wykreślane zapisy odnoszą się do tworzenia kont oraz nadawania uprawnień do aplikacji AUMM, przy jednoczesnym pozostawieniu przepisu § 9 ust. 5 pkt 10, dotyczącego podejmowania przez wojewodów jako administratorów wojewódzkich realizacji zadań wynikających z wprowadzania i aktualizacji danych w SWD PRM z wykorzystaniem aplikacji AUMM.</w:t>
            </w:r>
            <w:r>
              <w:rPr>
                <w:rFonts w:asciiTheme="minorHAnsi" w:hAnsiTheme="minorHAnsi" w:cstheme="minorHAnsi"/>
                <w:sz w:val="22"/>
                <w:szCs w:val="22"/>
              </w:rPr>
              <w:t xml:space="preserve"> </w:t>
            </w:r>
            <w:r w:rsidRPr="00B266E3">
              <w:rPr>
                <w:rFonts w:asciiTheme="minorHAnsi" w:hAnsiTheme="minorHAnsi" w:cstheme="minorHAnsi"/>
                <w:sz w:val="22"/>
                <w:szCs w:val="22"/>
              </w:rPr>
              <w:t>Należy jednak wskazać, że korzystanie z aplikacji AUMM wymaga uprzedniego utworzenia kont oraz nadania odpowiednich uprawnień. W związku z powyższym, usunięcie wskazanych zapisów może uniemożliwić prawidłowe wykorzystanie aplikacji</w:t>
            </w:r>
            <w:r>
              <w:rPr>
                <w:rFonts w:asciiTheme="minorHAnsi" w:hAnsiTheme="minorHAnsi" w:cstheme="minorHAnsi"/>
                <w:sz w:val="22"/>
                <w:szCs w:val="22"/>
              </w:rPr>
              <w:t>.</w:t>
            </w:r>
          </w:p>
        </w:tc>
        <w:tc>
          <w:tcPr>
            <w:tcW w:w="0" w:type="auto"/>
          </w:tcPr>
          <w:p w14:paraId="6FFE51EB" w14:textId="06502D71" w:rsidR="00DE1A1A" w:rsidRPr="00411523" w:rsidRDefault="00B266E3" w:rsidP="005846DD">
            <w:pPr>
              <w:rPr>
                <w:rFonts w:asciiTheme="minorHAnsi" w:hAnsiTheme="minorHAnsi" w:cstheme="minorHAnsi"/>
                <w:sz w:val="22"/>
                <w:szCs w:val="22"/>
              </w:rPr>
            </w:pPr>
            <w:r w:rsidRPr="00B266E3">
              <w:rPr>
                <w:rFonts w:asciiTheme="minorHAnsi" w:hAnsiTheme="minorHAnsi" w:cstheme="minorHAnsi"/>
                <w:sz w:val="22"/>
                <w:szCs w:val="22"/>
              </w:rPr>
              <w:lastRenderedPageBreak/>
              <w:t>Pozostawienie wskazanych punktów</w:t>
            </w:r>
          </w:p>
        </w:tc>
        <w:tc>
          <w:tcPr>
            <w:tcW w:w="0" w:type="auto"/>
          </w:tcPr>
          <w:p w14:paraId="2CB52D95" w14:textId="77777777" w:rsidR="008A60E1" w:rsidRDefault="008A60E1" w:rsidP="00BB7BD0">
            <w:pPr>
              <w:rPr>
                <w:rFonts w:asciiTheme="minorHAnsi" w:hAnsiTheme="minorHAnsi" w:cstheme="minorHAnsi"/>
                <w:sz w:val="22"/>
                <w:szCs w:val="22"/>
              </w:rPr>
            </w:pPr>
            <w:r>
              <w:rPr>
                <w:rFonts w:asciiTheme="minorHAnsi" w:hAnsiTheme="minorHAnsi" w:cstheme="minorHAnsi"/>
                <w:sz w:val="22"/>
                <w:szCs w:val="22"/>
              </w:rPr>
              <w:t>Uwaga nieuwzględniona.</w:t>
            </w:r>
          </w:p>
          <w:p w14:paraId="22F485B3" w14:textId="72E094B1" w:rsidR="00BB7BD0" w:rsidRPr="00BB7BD0" w:rsidRDefault="00BB7BD0" w:rsidP="00BB7BD0">
            <w:pPr>
              <w:rPr>
                <w:rFonts w:asciiTheme="minorHAnsi" w:hAnsiTheme="minorHAnsi" w:cstheme="minorHAnsi"/>
                <w:sz w:val="22"/>
                <w:szCs w:val="22"/>
              </w:rPr>
            </w:pPr>
            <w:r w:rsidRPr="00BB7BD0">
              <w:rPr>
                <w:rFonts w:asciiTheme="minorHAnsi" w:hAnsiTheme="minorHAnsi" w:cstheme="minorHAnsi"/>
                <w:sz w:val="22"/>
                <w:szCs w:val="22"/>
              </w:rPr>
              <w:t xml:space="preserve">Projektowana zmiana ma charakter porządkujący i wynika z planowanego odejścia od dotychczasowego modelu nadawania dostępu do aplikacji AUMM, w którym pośredniczył minister właściwy do spraw zdrowia. Docelowo proces tworzenia kont użytkowników oraz nadawania uprawnień do aplikacji ma odbywać się w uproszczonym trybie, z wykorzystaniem udostępnionego formularza elektronicznego. Rozwiązanie to ma na celu skrócenie czasu obsługi wniosków oraz wyeliminowanie nadmiarowego etapu angażującego Ministerstwo Zdrowia, który w obecnym modelu nie wnosi </w:t>
            </w:r>
            <w:r w:rsidRPr="00BB7BD0">
              <w:rPr>
                <w:rFonts w:asciiTheme="minorHAnsi" w:hAnsiTheme="minorHAnsi" w:cstheme="minorHAnsi"/>
                <w:sz w:val="22"/>
                <w:szCs w:val="22"/>
              </w:rPr>
              <w:lastRenderedPageBreak/>
              <w:t>dodatkowej wartości merytorycznej, a wydłuża proces uzyskania dostępu.</w:t>
            </w:r>
          </w:p>
          <w:p w14:paraId="19B9EE36" w14:textId="77777777" w:rsidR="00BB7BD0" w:rsidRPr="00BB7BD0" w:rsidRDefault="00BB7BD0" w:rsidP="00BB7BD0">
            <w:pPr>
              <w:rPr>
                <w:rFonts w:asciiTheme="minorHAnsi" w:hAnsiTheme="minorHAnsi" w:cstheme="minorHAnsi"/>
                <w:sz w:val="22"/>
                <w:szCs w:val="22"/>
              </w:rPr>
            </w:pPr>
          </w:p>
          <w:p w14:paraId="0A99A194" w14:textId="7A5078CE" w:rsidR="00DE1A1A" w:rsidRPr="00411523" w:rsidRDefault="00BB7BD0" w:rsidP="00BB7BD0">
            <w:pPr>
              <w:rPr>
                <w:rFonts w:asciiTheme="minorHAnsi" w:hAnsiTheme="minorHAnsi" w:cstheme="minorHAnsi"/>
                <w:sz w:val="22"/>
                <w:szCs w:val="22"/>
              </w:rPr>
            </w:pPr>
            <w:r w:rsidRPr="00BB7BD0">
              <w:rPr>
                <w:rFonts w:asciiTheme="minorHAnsi" w:hAnsiTheme="minorHAnsi" w:cstheme="minorHAnsi"/>
                <w:sz w:val="22"/>
                <w:szCs w:val="22"/>
              </w:rPr>
              <w:t xml:space="preserve">W tym kontekście uchylenie przepisu § 9 ust. 5 pkt 9 należy rozumieć jako rezygnację z dotychczasowego, sformalizowanego trybu występowania do ministra właściwego do spraw zdrowia o utworzenie kont użytkowników i nadanie uprawnień do aplikacji AUMM, a nie jako rezygnację z samej możliwości korzystania z tej aplikacji. Pozostawienie § 9 ust. 5 pkt 10 </w:t>
            </w:r>
            <w:r w:rsidR="008A60E1">
              <w:rPr>
                <w:rFonts w:asciiTheme="minorHAnsi" w:hAnsiTheme="minorHAnsi" w:cstheme="minorHAnsi"/>
                <w:sz w:val="22"/>
                <w:szCs w:val="22"/>
              </w:rPr>
              <w:t xml:space="preserve">w dotychczasowym brzmieniu sprawi, że </w:t>
            </w:r>
            <w:r w:rsidRPr="00BB7BD0">
              <w:rPr>
                <w:rFonts w:asciiTheme="minorHAnsi" w:hAnsiTheme="minorHAnsi" w:cstheme="minorHAnsi"/>
                <w:sz w:val="22"/>
                <w:szCs w:val="22"/>
              </w:rPr>
              <w:t>wojewodowie nadal będą realizowali zadania związane z wprowadzaniem i aktualizacją danych w SWD PRM z wykorzystaniem aplikacji AUMM, natomiast zmieniony ma zostać wyłącznie sposób uzyskiwania dostępu do tego narzędzia.</w:t>
            </w:r>
          </w:p>
        </w:tc>
      </w:tr>
    </w:tbl>
    <w:p w14:paraId="1D29CA8B" w14:textId="77777777" w:rsidR="00C64B1B" w:rsidRDefault="00C64B1B" w:rsidP="00C64B1B">
      <w:pPr>
        <w:jc w:val="center"/>
      </w:pPr>
    </w:p>
    <w:p w14:paraId="674BEE17" w14:textId="77777777" w:rsidR="0032203A" w:rsidRDefault="0032203A" w:rsidP="00C64B1B">
      <w:pPr>
        <w:jc w:val="center"/>
      </w:pPr>
    </w:p>
    <w:p w14:paraId="66F9E004" w14:textId="77777777" w:rsidR="0032203A" w:rsidRDefault="0032203A" w:rsidP="00C64B1B">
      <w:pPr>
        <w:jc w:val="center"/>
      </w:pPr>
    </w:p>
    <w:sectPr w:rsidR="0032203A"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708B0"/>
    <w:multiLevelType w:val="hybridMultilevel"/>
    <w:tmpl w:val="345619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2077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1D7"/>
    <w:rsid w:val="00034258"/>
    <w:rsid w:val="000430C9"/>
    <w:rsid w:val="00140BE8"/>
    <w:rsid w:val="0019648E"/>
    <w:rsid w:val="002279AE"/>
    <w:rsid w:val="00252E11"/>
    <w:rsid w:val="002715B2"/>
    <w:rsid w:val="002F4AC6"/>
    <w:rsid w:val="003124D1"/>
    <w:rsid w:val="0032203A"/>
    <w:rsid w:val="0036183B"/>
    <w:rsid w:val="003B4105"/>
    <w:rsid w:val="00411523"/>
    <w:rsid w:val="004D086F"/>
    <w:rsid w:val="00523B3E"/>
    <w:rsid w:val="005846DD"/>
    <w:rsid w:val="00591FDE"/>
    <w:rsid w:val="005F5934"/>
    <w:rsid w:val="005F6527"/>
    <w:rsid w:val="006705EC"/>
    <w:rsid w:val="006B1474"/>
    <w:rsid w:val="006C0330"/>
    <w:rsid w:val="006E16E9"/>
    <w:rsid w:val="00756ADE"/>
    <w:rsid w:val="00774C01"/>
    <w:rsid w:val="00790E62"/>
    <w:rsid w:val="00795E67"/>
    <w:rsid w:val="007B5708"/>
    <w:rsid w:val="00807385"/>
    <w:rsid w:val="0081402D"/>
    <w:rsid w:val="00841BBD"/>
    <w:rsid w:val="0086502F"/>
    <w:rsid w:val="008A60E1"/>
    <w:rsid w:val="00944932"/>
    <w:rsid w:val="009C0616"/>
    <w:rsid w:val="009E5FDB"/>
    <w:rsid w:val="00A06425"/>
    <w:rsid w:val="00A1026A"/>
    <w:rsid w:val="00AB1773"/>
    <w:rsid w:val="00AB3F5A"/>
    <w:rsid w:val="00AC7796"/>
    <w:rsid w:val="00AD7492"/>
    <w:rsid w:val="00B266E3"/>
    <w:rsid w:val="00B871B6"/>
    <w:rsid w:val="00BB7BD0"/>
    <w:rsid w:val="00BD5DBF"/>
    <w:rsid w:val="00C462A9"/>
    <w:rsid w:val="00C64B1B"/>
    <w:rsid w:val="00C735E0"/>
    <w:rsid w:val="00CB1BD6"/>
    <w:rsid w:val="00CD5EB0"/>
    <w:rsid w:val="00D47BEC"/>
    <w:rsid w:val="00DE1A1A"/>
    <w:rsid w:val="00DF0D4A"/>
    <w:rsid w:val="00E06671"/>
    <w:rsid w:val="00E14C33"/>
    <w:rsid w:val="00F621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CCC62"/>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A60E1"/>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character" w:customStyle="1" w:styleId="Ppogrubienie">
    <w:name w:val="_P_ – pogrubienie"/>
    <w:basedOn w:val="Domylnaczcionkaakapitu"/>
    <w:uiPriority w:val="99"/>
    <w:qFormat/>
    <w:rsid w:val="0032203A"/>
    <w:rPr>
      <w:b/>
    </w:rPr>
  </w:style>
  <w:style w:type="paragraph" w:styleId="Tekstkomentarza">
    <w:name w:val="annotation text"/>
    <w:basedOn w:val="Normalny"/>
    <w:link w:val="TekstkomentarzaZnak"/>
    <w:uiPriority w:val="99"/>
    <w:rsid w:val="0032203A"/>
    <w:pPr>
      <w:widowControl w:val="0"/>
      <w:autoSpaceDE w:val="0"/>
      <w:autoSpaceDN w:val="0"/>
      <w:adjustRightInd w:val="0"/>
      <w:spacing w:line="360" w:lineRule="auto"/>
    </w:pPr>
    <w:rPr>
      <w:rFonts w:ascii="Times" w:hAnsi="Times"/>
    </w:rPr>
  </w:style>
  <w:style w:type="character" w:customStyle="1" w:styleId="TekstkomentarzaZnak">
    <w:name w:val="Tekst komentarza Znak"/>
    <w:basedOn w:val="Domylnaczcionkaakapitu"/>
    <w:link w:val="Tekstkomentarza"/>
    <w:uiPriority w:val="99"/>
    <w:rsid w:val="0032203A"/>
    <w:rPr>
      <w:rFonts w:ascii="Times" w:hAnsi="Times"/>
      <w:sz w:val="24"/>
      <w:szCs w:val="24"/>
    </w:rPr>
  </w:style>
  <w:style w:type="character" w:styleId="Hipercze">
    <w:name w:val="Hyperlink"/>
    <w:basedOn w:val="Domylnaczcionkaakapitu"/>
    <w:rsid w:val="005F5934"/>
    <w:rPr>
      <w:color w:val="0563C1" w:themeColor="hyperlink"/>
      <w:u w:val="single"/>
    </w:rPr>
  </w:style>
  <w:style w:type="paragraph" w:styleId="Akapitzlist">
    <w:name w:val="List Paragraph"/>
    <w:basedOn w:val="Normalny"/>
    <w:uiPriority w:val="34"/>
    <w:qFormat/>
    <w:rsid w:val="00DF0D4A"/>
    <w:pPr>
      <w:ind w:left="720"/>
      <w:contextualSpacing/>
    </w:pPr>
  </w:style>
  <w:style w:type="character" w:styleId="Odwoaniedokomentarza">
    <w:name w:val="annotation reference"/>
    <w:basedOn w:val="Domylnaczcionkaakapitu"/>
    <w:rsid w:val="00841BBD"/>
    <w:rPr>
      <w:sz w:val="16"/>
      <w:szCs w:val="16"/>
    </w:rPr>
  </w:style>
  <w:style w:type="paragraph" w:styleId="Tematkomentarza">
    <w:name w:val="annotation subject"/>
    <w:basedOn w:val="Tekstkomentarza"/>
    <w:next w:val="Tekstkomentarza"/>
    <w:link w:val="TematkomentarzaZnak"/>
    <w:rsid w:val="00841BBD"/>
    <w:pPr>
      <w:widowControl/>
      <w:autoSpaceDE/>
      <w:autoSpaceDN/>
      <w:adjustRightInd/>
      <w:spacing w:line="240" w:lineRule="auto"/>
    </w:pPr>
    <w:rPr>
      <w:rFonts w:ascii="Times New Roman" w:hAnsi="Times New Roman"/>
      <w:b/>
      <w:bCs/>
      <w:sz w:val="20"/>
      <w:szCs w:val="20"/>
    </w:rPr>
  </w:style>
  <w:style w:type="character" w:customStyle="1" w:styleId="TematkomentarzaZnak">
    <w:name w:val="Temat komentarza Znak"/>
    <w:basedOn w:val="TekstkomentarzaZnak"/>
    <w:link w:val="Tematkomentarza"/>
    <w:rsid w:val="00841BBD"/>
    <w:rPr>
      <w:rFonts w:ascii="Times" w:hAnsi="Time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v.pl/web/kdsc/projekt-rozporzadzenia-ministra-zdrowia-zmieniajacego-rozporzadzenie-w-sprawie-systemu-wspomagania-dowodzenia-panstwowego-ratownictwa-medyczneg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F7215-7C71-4E1B-A588-5460F1FA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3001</Words>
  <Characters>18009</Characters>
  <Application>Microsoft Office Word</Application>
  <DocSecurity>0</DocSecurity>
  <Lines>150</Lines>
  <Paragraphs>41</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Stocka-Mirońska Mirosława</cp:lastModifiedBy>
  <cp:revision>3</cp:revision>
  <dcterms:created xsi:type="dcterms:W3CDTF">2026-04-01T13:35:00Z</dcterms:created>
  <dcterms:modified xsi:type="dcterms:W3CDTF">2026-04-02T11:05:00Z</dcterms:modified>
</cp:coreProperties>
</file>